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56"/>
          <w:szCs w:val="56"/>
        </w:rPr>
        <w:t xml:space="preserve">HOW THIS WAS BUILT</w:t>
      </w:r>
    </w:p>
    <w:p>
      <w:pPr>
        <w:spacing w:after="200"/>
        <w:jc w:val="center"/>
      </w:pPr>
      <w:r>
        <w:rPr>
          <w:rFonts w:ascii="Arial" w:cs="Arial" w:eastAsia="Arial" w:hAnsi="Arial"/>
          <w:i/>
          <w:iCs/>
          <w:color w:val="C00000"/>
          <w:sz w:val="28"/>
          <w:szCs w:val="28"/>
        </w:rPr>
        <w:t xml:space="preserve">The Provenance of the We The People Platform</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An honest accounting of where the ideas came from,</w:t>
      </w:r>
    </w:p>
    <w:p>
      <w:pPr>
        <w:spacing w:after="1200"/>
        <w:jc w:val="center"/>
      </w:pPr>
      <w:r>
        <w:rPr>
          <w:rFonts w:ascii="Georgia" w:cs="Georgia" w:eastAsia="Georgia" w:hAnsi="Georgia"/>
          <w:i/>
          <w:iCs/>
          <w:color w:val="1A1A1A"/>
          <w:sz w:val="24"/>
          <w:szCs w:val="24"/>
        </w:rPr>
        <w:t xml:space="preserve">who contributed what, and how the platform took shape.</w:t>
      </w:r>
    </w:p>
    <w:p>
      <w:pPr>
        <w:spacing w:before="1600"/>
      </w:pPr>
      <w:r>
        <w:t xml:space="preserve"/>
      </w:r>
    </w:p>
    <w:p>
      <w:pPr>
        <w:spacing w:after="80"/>
        <w:jc w:val="center"/>
      </w:pPr>
      <w:r>
        <w:rPr>
          <w:rFonts w:ascii="Georgia" w:cs="Georgia" w:eastAsia="Georgia" w:hAnsi="Georgia"/>
          <w:i/>
          <w:iCs/>
          <w:color w:val="595959"/>
          <w:sz w:val="22"/>
          <w:szCs w:val="22"/>
        </w:rPr>
        <w:t xml:space="preserve">A Provenance Document</w:t>
      </w:r>
    </w:p>
    <w:p>
      <w:pPr>
        <w:spacing w:after="8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color w:val="595959"/>
          <w:sz w:val="20"/>
          <w:szCs w:val="20"/>
        </w:rPr>
        <w:t xml:space="preserve">Ohio  ·  2026</w:t>
      </w:r>
    </w:p>
    <w:p>
      <w:pPr>
        <w:spacing w:before="480"/>
        <w:jc w:val="center"/>
      </w:pPr>
      <w:r>
        <w:rPr>
          <w:rFonts w:ascii="Arial" w:cs="Arial" w:eastAsia="Arial" w:hAnsi="Arial"/>
          <w:i/>
          <w:iCs/>
          <w:color w:val="595959"/>
          <w:sz w:val="16"/>
          <w:szCs w:val="16"/>
        </w:rPr>
        <w:t>v1.7  ·  Created April 2026  ·  Last comprehensively refreshed for v3.7.89 on May 14, 2026 (covers v2.27 through v3.7.88 work in a new section; intro counts updated; positioning section updated for current pillar count). Prior version-line history is preserved as the document's historical record. · content last changed v3.8.457</w:t>
      </w:r>
    </w:p>
    <w:p>
      <w:pPr>
        <w:spacing w:before="480"/>
        <w:jc w:val="center"/>
      </w:pPr>
      <w:r>
        <w:rPr>
          <w:b/>
        </w:rPr>
        <w:t xml:space="preserve">SWEPT AND CURRENT (v3.8.362). This document was reviewed line by line at v3.8.359, every numerical claim in it checked against the registry and the models, and the corrections applied in place. Its figures are current as of v3.8.361. THE NOTICE THAT FOLLOWS IS KEPT AS HISTORY, not as a live warning: it was written before that review and is superseded by it. Where a claim could not be restated -- because the finding itself was overturned rather than the number -- the document says so at the point of use. Original notice: UNDER REVISION (v3.8.337). </w:t>
      </w:r>
      <w:r>
        <w:t>This document's figures for the Social Security transition are superseded. Measured in today's dollars, with the workers the phase-out grandfathers actually retiring and claiming, phasing out Social Security alone would require about $58 trillion of cumulative borrowing by 2085, and the platform's reform reduces that to about $35 trillion: a reduction of about 40 percent, not the 99.9 percent (from $93.9 trillion to $82 billion) or the peak of about $1.9 trillion stated in earlier versions. Passages that rest on those figures will be rewritten; see the version log for v3.8.336 and v3.8.337.</w:t>
      </w:r>
      <w:r>
        <w:t xml:space="preserve"> UPDATED v3.8.341: both models have since been rebuilt on the decided repayment rule -- workers leave oldest first and get back their pre-enactment contributions with interest at the government's own borrowing cost, before they retire. On that basis the standalone sunset needs about $73 trillion of cumulative borrowing by 2085 and the platform's reform about $60 trillion, a reduction of about 18 percent rather than the 40 percent stated when this notice was written, or the 99.9 percent stated in the document below.</w:t>
      </w:r>
      <w:r>
        <w:t xml:space="preserve"> UPDATED v3.8.347: the platform has since adopted ABSORPTION, which it always intended -- the Social Security trust fund moves into the Sovereign Fund at year 1 and every payroll tax dollar of the wind-down goes to the fund, with benefits and repayments financed by borrowing. On that design the fund reaches about $137 trillion by year 60 and the platform REDUCES the federal deficit by about $2.72 trillion a year at its published 4 percent return, or $1.39 trillion counting interest on the transition debt, which stands at about $85 trillion. The gain is a spread between the fund's return and the government's borrowing cost and reverses below about 3 percent. Separately, the pillars' own build-out years are now costed for the first time: about $0.321 trillion [UPDATED v3.8.414: the first-year figure moved to $0.321 trillion when the pillar ledger adopted the CMS 2024 column at v3.8.409 -- more existing spending absorbed means a smaller first-year deficit] in year 1, peaking near $1.7 trillion in year 6, roughly $20 trillion over fifteen years, none of it inside the Social Security figure. See 05_Transition_Design_Options_And_Costs.docx and 05_Federal_Fiscal_Impact_Analysis.docx, which carry the current figures.</w:t>
      </w:r>
    </w:p>
    <w:p>
      <w:r>
        <w:br w:type="page"/>
      </w:r>
    </w:p>
    <w:p>
      <w:pPr>
        <w:pStyle w:val="Heading1"/>
        <w:spacing w:after="240" w:before="480"/>
      </w:pPr>
      <w:r>
        <w:rPr>
          <w:rFonts w:ascii="Arial" w:cs="Arial" w:eastAsia="Arial" w:hAnsi="Arial"/>
          <w:b/>
          <w:bCs/>
          <w:color w:val="1F4E78"/>
          <w:sz w:val="36"/>
          <w:szCs w:val="36"/>
        </w:rPr>
        <w:t xml:space="preserve">Why This Document Exists</w:t>
      </w:r>
    </w:p>
    <w:p>
      <w:pPr>
        <w:spacing w:after="240" w:line="340"/>
        <w:jc w:val="both"/>
      </w:pPr>
      <w:r>
        <w:rPr>
          <w:rFonts w:ascii="Georgia" w:cs="Georgia" w:eastAsia="Georgia" w:hAnsi="Georgia"/>
          <w:color w:val="1A1A1A"/>
          <w:sz w:val="24"/>
          <w:szCs w:val="24"/>
        </w:rPr>
        <w:t>The We The People platform consists of 118 documents organized into nine folders, including nineteen analytical models and substantiation documents for each major architectural choice, covering all twelve canonical pillars: the community contribution plan, empirical wage floors, sovereign education fund, universal healthcare access, universal childcare, universal mental health access, civic infrastructure, universal paid family time, universal long-term care, federal housing investment, climate architecture, and immigration architecture. Anyone reading this body of work has a reasonable question to ask: who actually produced this?</w:t>
      </w:r>
    </w:p>
    <w:p>
      <w:pPr>
        <w:spacing w:after="200" w:line="320"/>
        <w:jc w:val="both"/>
      </w:pPr>
      <w:r>
        <w:rPr>
          <w:rFonts w:ascii="Georgia" w:cs="Georgia" w:eastAsia="Georgia" w:hAnsi="Georgia"/>
          <w:color w:val="1A1A1A"/>
          <w:sz w:val="22"/>
          <w:szCs w:val="22"/>
        </w:rPr>
        <w:t xml:space="preserve">This document answers that question honestly. The platform was developed through extended conversation between Jason — a Senior Data Integration Engineer based in Ohio — and Claude, an AI assistant built by Anthropic. The collaboration was substantial, sustained, and unusual in both its depth and its character. The platform reflects ideas, design choices, refinements, and value commitments that came from Jason. It also reflects analytical work, document production, and structural reasoning that came from Claude. Neither party could have produced this work alone.</w:t>
      </w:r>
    </w:p>
    <w:p>
      <w:pPr>
        <w:spacing w:after="200" w:line="320"/>
        <w:jc w:val="both"/>
      </w:pPr>
      <w:r>
        <w:rPr>
          <w:rFonts w:ascii="Georgia" w:cs="Georgia" w:eastAsia="Georgia" w:hAnsi="Georgia"/>
          <w:color w:val="1A1A1A"/>
          <w:sz w:val="22"/>
          <w:szCs w:val="22"/>
        </w:rPr>
        <w:t xml:space="preserve">Transparency about authorship matters because the platform makes claims about institutional design, fiscal viability, and political architecture that deserve to be evaluated on their merits rather than mistaken for either pure individual scholarship or pure machine output. A reader should know what they’re engaging with. This document tells them.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goal is not to take credit or to deflect credit. The goal is to be accurate about how the work happened, so that readers can evaluate it honestly.”</w:t>
            </w:r>
          </w:p>
        </w:tc>
      </w:tr>
    </w:tbl>
    <w:p>
      <w:r>
        <w:br w:type="page"/>
      </w:r>
    </w:p>
    <w:p>
      <w:pPr>
        <w:pStyle w:val="Heading1"/>
        <w:spacing w:after="240" w:before="480"/>
      </w:pPr>
      <w:r>
        <w:rPr>
          <w:rFonts w:ascii="Arial" w:cs="Arial" w:eastAsia="Arial" w:hAnsi="Arial"/>
          <w:b/>
          <w:bCs/>
          <w:color w:val="1F4E78"/>
          <w:sz w:val="36"/>
          <w:szCs w:val="36"/>
        </w:rPr>
        <w:t xml:space="preserve">How It Started</w:t>
      </w:r>
    </w:p>
    <w:p>
      <w:pPr>
        <w:spacing w:after="240" w:line="340"/>
        <w:jc w:val="both"/>
      </w:pPr>
      <w:r>
        <w:rPr>
          <w:rFonts w:ascii="Georgia" w:cs="Georgia" w:eastAsia="Georgia" w:hAnsi="Georgia"/>
          <w:color w:val="1A1A1A"/>
          <w:sz w:val="24"/>
          <w:szCs w:val="24"/>
        </w:rPr>
        <w:t xml:space="preserve">The platform did not begin as a platform. It began as a question, asked casually.</w:t>
      </w:r>
    </w:p>
    <w:p>
      <w:pPr>
        <w:spacing w:after="200" w:line="320"/>
        <w:jc w:val="both"/>
      </w:pPr>
      <w:r>
        <w:rPr>
          <w:rFonts w:ascii="Georgia" w:cs="Georgia" w:eastAsia="Georgia" w:hAnsi="Georgia"/>
          <w:color w:val="1A1A1A"/>
          <w:sz w:val="22"/>
          <w:szCs w:val="22"/>
        </w:rPr>
        <w:t xml:space="preserve">In an earlier conversation, Jason asked what it would take to start a political party in the United States. The question was exploratory rather than committed — the kind of question someone asks when they’re frustrated with the political options available and curious about whether structural alternatives are possible. Claude’s initial response covered the practical mechanics of party formation: ballot access requirements, state-by-state registration, the role of independent candidates, the historical track record of third parties in American politics.</w:t>
      </w:r>
    </w:p>
    <w:p>
      <w:pPr>
        <w:spacing w:after="200" w:line="320"/>
        <w:jc w:val="both"/>
      </w:pPr>
      <w:r>
        <w:rPr>
          <w:rFonts w:ascii="Georgia" w:cs="Georgia" w:eastAsia="Georgia" w:hAnsi="Georgia"/>
          <w:color w:val="1A1A1A"/>
          <w:sz w:val="22"/>
          <w:szCs w:val="22"/>
        </w:rPr>
        <w:t xml:space="preserve">That conversation could have ended there. Most conversations like it do. What distinguished this one was that Jason returned to the underlying problem rather than the surface question. He didn’t want to know how to start a party. He wanted to know whether the country could be organized differently than it currently is, in ways that would produce shared prosperity rather than concentrated prosperity. The party question was a wrapper around a deeper question about political and economic architecture.</w:t>
      </w:r>
    </w:p>
    <w:p>
      <w:pPr>
        <w:spacing w:after="200" w:line="320"/>
        <w:jc w:val="both"/>
      </w:pPr>
      <w:r>
        <w:rPr>
          <w:rFonts w:ascii="Georgia" w:cs="Georgia" w:eastAsia="Georgia" w:hAnsi="Georgia"/>
          <w:color w:val="1A1A1A"/>
          <w:sz w:val="22"/>
          <w:szCs w:val="22"/>
        </w:rPr>
        <w:t>From there, the conversation moved to specific policy areas — starting with Social Security reform, which Jason raised as the most visible failing institution he could see in front of him. Claude’s initial response was a standard analysis of the Social Security trust fund’s solvency problem and the conventional reform options. Jason’s response was the move that turned the conversation into something different. He didn’t want one of the conventional options. He wanted to know whether the math could work for a fundamental redesign that would replace pay-as-you-go financing with a sovereign investment fund modeled on Norway’s GPFG (Government Pension Fund Global) and Australia’s superannuation system.</w:t>
      </w:r>
    </w:p>
    <w:p>
      <w:pPr>
        <w:spacing w:after="200" w:line="320"/>
        <w:jc w:val="both"/>
      </w:pPr>
      <w:r>
        <w:rPr>
          <w:rFonts w:ascii="Georgia" w:cs="Georgia" w:eastAsia="Georgia" w:hAnsi="Georgia"/>
          <w:color w:val="1A1A1A"/>
          <w:sz w:val="22"/>
          <w:szCs w:val="22"/>
        </w:rPr>
        <w:t xml:space="preserve">That question opened the door to mathematical modeling. Claude built the first Excel model — the Social Security Sunset Equilibrium Model — which demonstrated that simply phasing out Social Security without replacement would require approximately $93.9 trillion [RECOMPUTED v3.8.295: read $63 trillion. That figure applied the trust fund's EARNING rate to the phase in which the government BORROWS. At the decided 4.0 percent borrowing rate -- anchored to CBO's sealed projection of the average rate on federal debt, mean 4.01 percent over 2026-2056 -- the same model gives $93.9 trillion. The reform side was recomputed too: its peak is $2.01 trillion and the reduction is 97.9 percent] in transition borrowing over sixty years. The number was sobering. Jason’s response: what if the new contribution system runs in parallel with the sunset, so the new fund’s growth offsets the old system’s decline?</w:t>
      </w:r>
    </w:p>
    <w:p>
      <w:pPr>
        <w:spacing w:after="200" w:line="320"/>
        <w:jc w:val="both"/>
      </w:pPr>
      <w:r>
        <w:rPr>
          <w:rFonts w:ascii="Georgia" w:cs="Georgia" w:eastAsia="Georgia" w:hAnsi="Georgia"/>
          <w:color w:val="1A1A1A"/>
          <w:sz w:val="22"/>
          <w:szCs w:val="22"/>
        </w:rPr>
        <w:t xml:space="preserve">The Combined Reform Model showed that this architecture reduced peak transition borrowing from $93.9 trillion to $82 billion — a 99.9% reduction. The math worked. [LATER OVERTURNED, RECORDED v3.8.359: this is an accurate account of what the model showed at the time, and the finding did not survive. That model mixed money-terms contributions with a real return, never let the workers the phase-out grandfathers retire and claim, and predates absorption. On the current design the wind-down borrows about $85 trillion by 2085 DELIBERATELY, because the payroll tax compounds in the Sovereign Fund instead of paying benefits, and the reform's value is a fund that outgrows the debt rather than a smaller debt. The sentence is kept because this document records how the thinking moved, including where it was wrong. See 05_Transition_Design_Options_And_Costs.docx.] The conversation had its first concrete deliverable, and the platform had its first pillar.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This pattern — a question that opens a problem, an analytical response, a refinement that improves the design — became the template for everything that followed. The platform grew through iteration, not through monolithic specification.</w:t>
            </w:r>
          </w:p>
        </w:tc>
      </w:tr>
    </w:tbl>
    <w:p>
      <w:r>
        <w:br w:type="page"/>
      </w:r>
    </w:p>
    <w:p>
      <w:pPr>
        <w:pStyle w:val="Heading1"/>
        <w:spacing w:after="240" w:before="480"/>
      </w:pPr>
      <w:r>
        <w:rPr>
          <w:rFonts w:ascii="Arial" w:cs="Arial" w:eastAsia="Arial" w:hAnsi="Arial"/>
          <w:b/>
          <w:bCs/>
          <w:color w:val="1F4E78"/>
          <w:sz w:val="36"/>
          <w:szCs w:val="36"/>
        </w:rPr>
        <w:t xml:space="preserve">How It Grew</w:t>
      </w:r>
    </w:p>
    <w:p>
      <w:pPr>
        <w:spacing w:after="240" w:line="340"/>
        <w:jc w:val="both"/>
      </w:pPr>
      <w:r>
        <w:rPr>
          <w:rFonts w:ascii="Georgia" w:cs="Georgia" w:eastAsia="Georgia" w:hAnsi="Georgia"/>
          <w:color w:val="1A1A1A"/>
          <w:sz w:val="24"/>
          <w:szCs w:val="24"/>
        </w:rPr>
        <w:t xml:space="preserve">Over the course of the conversation, the platform expanded from one pillar to eight. Each addition followed the same pattern: Jason identified a problem worth solving, the conversation worked out the architectural response, and the analytical work produced a model or document that captured the result.</w:t>
      </w:r>
    </w:p>
    <w:p>
      <w:pPr>
        <w:pStyle w:val="Heading3"/>
        <w:spacing w:after="120" w:before="240"/>
      </w:pPr>
      <w:r>
        <w:rPr>
          <w:rFonts w:ascii="Arial" w:cs="Arial" w:eastAsia="Arial" w:hAnsi="Arial"/>
          <w:b/>
          <w:bCs/>
          <w:color w:val="C00000"/>
          <w:sz w:val="22"/>
          <w:szCs w:val="22"/>
        </w:rPr>
        <w:t xml:space="preserve">Pillar Two: Empirical Wage Floors</w:t>
      </w:r>
    </w:p>
    <w:p>
      <w:pPr>
        <w:spacing w:after="200" w:line="320"/>
        <w:jc w:val="both"/>
      </w:pPr>
      <w:r>
        <w:rPr>
          <w:rFonts w:ascii="Georgia" w:cs="Georgia" w:eastAsia="Georgia" w:hAnsi="Georgia"/>
          <w:color w:val="1A1A1A"/>
          <w:sz w:val="22"/>
          <w:szCs w:val="22"/>
        </w:rPr>
        <w:t>Jason raised the wage stagnation problem after the retirement reform model was substantially complete. His initial framing was about whether a federal minimum wage could be set by occupation rather than nationally. The conversation worked through what the data sources would be (Bureau of Labor Statistics (BLS) Occupational Employment and Wage Statistics), what threshold would be appropriate (25th percentile of actual wages currently paid), and how the system would interact with the labor market. The empirical analysis Excel model covers 81 broad occupations and approximately 82 million American workers.</w:t>
      </w:r>
    </w:p>
    <w:p>
      <w:pPr>
        <w:pStyle w:val="Heading3"/>
        <w:spacing w:after="120" w:before="240"/>
      </w:pPr>
      <w:r>
        <w:rPr>
          <w:rFonts w:ascii="Arial" w:cs="Arial" w:eastAsia="Arial" w:hAnsi="Arial"/>
          <w:b/>
          <w:bCs/>
          <w:color w:val="C00000"/>
          <w:sz w:val="22"/>
          <w:szCs w:val="22"/>
        </w:rPr>
        <w:t xml:space="preserve">Pillar Three: Sovereign Education Fund</w:t>
      </w:r>
    </w:p>
    <w:p>
      <w:pPr>
        <w:spacing w:after="200" w:line="320"/>
        <w:jc w:val="both"/>
      </w:pPr>
      <w:r>
        <w:rPr>
          <w:rFonts w:ascii="Georgia" w:cs="Georgia" w:eastAsia="Georgia" w:hAnsi="Georgia"/>
          <w:color w:val="1A1A1A"/>
          <w:sz w:val="22"/>
          <w:szCs w:val="22"/>
        </w:rPr>
        <w:t xml:space="preserve">Education was the third pillar Jason raised. The initial framing was about the student debt crisis, but the conversation moved quickly to a different architectural question: could the same Sovereign Fund mechanism that solved retirement also solve education funding? The mathematical answer was that birth-seed contributions alone were insufficient — the eighteen-year compound horizon couldn’t produce enough per-student capital. But combined with disbursements from the retirement Sovereign Fund at maturity, the model showed that free college becomes mathematically achievable. The cost-based pricing framework that prevents institutional cost padding was added through subsequent iteration.</w:t>
      </w:r>
    </w:p>
    <w:p>
      <w:pPr>
        <w:pStyle w:val="Heading3"/>
        <w:spacing w:after="120" w:before="240"/>
      </w:pPr>
      <w:r>
        <w:rPr>
          <w:rFonts w:ascii="Arial" w:cs="Arial" w:eastAsia="Arial" w:hAnsi="Arial"/>
          <w:b/>
          <w:bCs/>
          <w:color w:val="C00000"/>
          <w:sz w:val="22"/>
          <w:szCs w:val="22"/>
        </w:rPr>
        <w:t xml:space="preserve">The Adjacent Pillars</w:t>
      </w:r>
    </w:p>
    <w:p>
      <w:pPr>
        <w:spacing w:after="200" w:line="320"/>
        <w:jc w:val="both"/>
      </w:pPr>
      <w:r>
        <w:rPr>
          <w:rFonts w:ascii="Georgia" w:cs="Georgia" w:eastAsia="Georgia" w:hAnsi="Georgia"/>
          <w:color w:val="1A1A1A"/>
          <w:sz w:val="22"/>
          <w:szCs w:val="22"/>
        </w:rPr>
        <w:t xml:space="preserve">Healthcare, childcare, and mental health access were added later in the conversation, after Jason questioned why they had been excluded from the platform. The original framing positioned these as adjacent rather than primary pillars because the analytical depth wasn’t initially complete. Jason’s response was to ask Claude to perform the analytical work — healthcare first, then childcare, then mental health. Each pillar received its own concept document and Excel model. The healthcare model showed a $2.6 trillion surplus by year ten under multi-payer reform. [RECORDED v3.8.359: the shipped model now puts the Year 10 net new federal cost at minus $1.81 trillion -- an ANNUAL surplus of that size rather than a cumulative $2.6 trillion.] The childcare model showed a $135 billion surplus at full coverage. [RECORDED v3.8.359: the shipped model now shows, at Year 18 full coverage, a total program cost of $252.9 billion against funding raised of $337.5 billion -- a surplus of about $85 billion.] The mental health model showed that total workforce numbers are adequate at universal voluntary access — distribution is the problem, not raw supply.</w:t>
      </w:r>
    </w:p>
    <w:p>
      <w:pPr>
        <w:pStyle w:val="Heading3"/>
        <w:spacing w:after="120" w:before="240"/>
      </w:pPr>
      <w:r>
        <w:rPr>
          <w:rFonts w:ascii="Arial" w:cs="Arial" w:eastAsia="Arial" w:hAnsi="Arial"/>
          <w:b/>
          <w:bCs/>
          <w:color w:val="C00000"/>
          <w:sz w:val="22"/>
          <w:szCs w:val="22"/>
        </w:rPr>
        <w:t xml:space="preserve">The Founding Stake</w:t>
      </w:r>
    </w:p>
    <w:p>
      <w:pPr>
        <w:spacing w:after="200" w:line="320"/>
        <w:jc w:val="both"/>
      </w:pPr>
      <w:r>
        <w:rPr>
          <w:rFonts w:ascii="Georgia" w:cs="Georgia" w:eastAsia="Georgia" w:hAnsi="Georgia"/>
          <w:color w:val="1A1A1A"/>
          <w:sz w:val="22"/>
          <w:szCs w:val="22"/>
        </w:rPr>
        <w:t>Late in the conversation, Jason proposed that every American contribute two dollars at platform launch as the seed for the Sovereign Fund. The mathematical analysis showed that the $674 million [RESTATED v3.8.378] this read $680 million; 336,755,052 Americans at $2 each is $673.5 million, as 02_The_Founding_Stake states. I VERIFIED THIS PARAGRAPH AT v3.8.359 AND CALLED IT CORRECT, having checked the multiplication without carrying the rounding through produced by [[FIG:FIG-us-population]] Americans contributing $2 each is essentially mathematical rounding error within five years. But Jason’s framing of the proposal pointed to something more important than the dollars: the universal contribution would establish that every American is a founding stakeholder in the institutions the platform creates. The historical and political theory underneath this idea — constitutive participation — has serious intellectual lineage that the conversation worked through. The Founding Stake is documented in its own companion piece.</w:t>
      </w:r>
    </w:p>
    <w:p>
      <w:pPr>
        <w:pStyle w:val="Heading3"/>
        <w:spacing w:after="120" w:before="240"/>
      </w:pPr>
      <w:r>
        <w:rPr>
          <w:rFonts w:ascii="Arial" w:cs="Arial" w:eastAsia="Arial" w:hAnsi="Arial"/>
          <w:b/>
          <w:bCs/>
          <w:color w:val="C00000"/>
          <w:sz w:val="22"/>
          <w:szCs w:val="22"/>
        </w:rPr>
        <w:t xml:space="preserve">The AI Transition Frame</w:t>
      </w:r>
    </w:p>
    <w:p>
      <w:pPr>
        <w:spacing w:after="200" w:line="320"/>
        <w:jc w:val="both"/>
      </w:pPr>
      <w:r>
        <w:rPr>
          <w:rFonts w:ascii="Georgia" w:cs="Georgia" w:eastAsia="Georgia" w:hAnsi="Georgia"/>
          <w:color w:val="1A1A1A"/>
          <w:sz w:val="22"/>
          <w:szCs w:val="22"/>
        </w:rPr>
        <w:t xml:space="preserve">Jason raised a question about whether the platform’s pillars would absorb workforce displacement from AI. The conversation worked through the empirical evidence on AI displacement scope, the categories of work that resist automation, and how each platform pillar functions as workforce transition infrastructure. The result was a parallel framing of the platform that proceeds from economic stability rather than fairness, and that broadens the political coalition the platform can plausibly build. This is captured in the “Built for What’s Coming” document.</w:t>
      </w:r>
    </w:p>
    <w:p>
      <w:pPr>
        <w:pStyle w:val="Heading3"/>
        <w:spacing w:after="120" w:before="240"/>
      </w:pPr>
      <w:r>
        <w:rPr>
          <w:rFonts w:ascii="Arial" w:cs="Arial" w:eastAsia="Arial" w:hAnsi="Arial"/>
          <w:b/>
          <w:bCs/>
          <w:color w:val="C00000"/>
          <w:sz w:val="22"/>
          <w:szCs w:val="22"/>
        </w:rPr>
        <w:t xml:space="preserve">The Civic Infrastructure Pillar</w:t>
      </w:r>
    </w:p>
    <w:p>
      <w:pPr>
        <w:spacing w:after="200" w:line="320"/>
        <w:jc w:val="both"/>
      </w:pPr>
      <w:r>
        <w:rPr>
          <w:rFonts w:ascii="Georgia" w:cs="Georgia" w:eastAsia="Georgia" w:hAnsi="Georgia"/>
          <w:color w:val="1A1A1A"/>
          <w:sz w:val="22"/>
          <w:szCs w:val="22"/>
        </w:rPr>
        <w:t xml:space="preserve">Jason asked whether journalism, civic education, voter access, and public meeting transparency could be combined into a unified pillar. The conversation worked through the architectural challenges — particularly the constitutional concerns about direct federal funding of journalism — and produced the Civic Infrastructure pillar concept document, which proposes indirect mechanisms (tax incentives, public broadcasting infrastructure, voter access standards, meeting transparency infrastructure) rather than direct federal evaluation of journalism content.</w:t>
      </w:r>
    </w:p>
    <w:p>
      <w:pPr>
        <w:pStyle w:val="Heading3"/>
        <w:spacing w:after="120" w:before="240"/>
      </w:pPr>
      <w:r>
        <w:rPr>
          <w:rFonts w:ascii="Arial" w:cs="Arial" w:eastAsia="Arial" w:hAnsi="Arial"/>
          <w:b/>
          <w:bCs/>
          <w:color w:val="C00000"/>
          <w:sz w:val="22"/>
          <w:szCs w:val="22"/>
        </w:rPr>
        <w:t xml:space="preserve">The Future Capacity Fund</w:t>
      </w:r>
    </w:p>
    <w:p>
      <w:pPr>
        <w:spacing w:after="200" w:line="320"/>
        <w:jc w:val="both"/>
      </w:pPr>
      <w:r>
        <w:rPr>
          <w:rFonts w:ascii="Georgia" w:cs="Georgia" w:eastAsia="Georgia" w:hAnsi="Georgia"/>
          <w:color w:val="1A1A1A"/>
          <w:sz w:val="22"/>
          <w:szCs w:val="22"/>
        </w:rPr>
        <w:t>In the conversation’s most recent iteration, Jason raised the question of whether the platform should preserve capacity for problems future generations will face. The conversation worked through two architectural paths — a pure Future Capacity Fund (Path A) and a hybrid future-capacity-plus-demonstration fund (Path B) — with explicit tradeoffs documented for each. The decision between paths was deliberately left to the platform’s broader political coalition rather than imposed by the conversation.</w:t>
      </w:r>
    </w:p>
    <w:p>
      <w:pPr>
        <w:pStyle w:val="Heading3"/>
        <w:spacing w:after="120" w:before="240"/>
      </w:pPr>
      <w:r>
        <w:rPr>
          <w:rFonts w:ascii="Arial" w:cs="Arial" w:eastAsia="Arial" w:hAnsi="Arial"/>
          <w:b/>
          <w:bCs/>
          <w:color w:val="C00000"/>
          <w:sz w:val="22"/>
          <w:szCs w:val="22"/>
        </w:rPr>
        <w:t xml:space="preserve">The Slideshow</w:t>
      </w:r>
    </w:p>
    <w:p>
      <w:pPr>
        <w:spacing w:after="200" w:line="320"/>
        <w:jc w:val="both"/>
      </w:pPr>
      <w:r>
        <w:rPr>
          <w:rFonts w:ascii="Georgia" w:cs="Georgia" w:eastAsia="Georgia" w:hAnsi="Georgia"/>
          <w:color w:val="1A1A1A"/>
          <w:sz w:val="22"/>
          <w:szCs w:val="22"/>
        </w:rPr>
        <w:t xml:space="preserve">The most recent deliverable was the visual slideshow — a 15-slide deck designed to communicate the platform at high level for audiences who don’t have time to engage with the underlying documents. This was Jason’s suggestion, and it captures the platform’s essential structure in a format that supports outreach beyond the policy-professional audience the white papers serve.</w:t>
      </w:r>
    </w:p>
    <w:p>
      <w:r>
        <w:br w:type="page"/>
      </w:r>
    </w:p>
    <w:p>
      <w:pPr>
        <w:pStyle w:val="Heading1"/>
        <w:spacing w:after="240" w:before="480"/>
      </w:pPr>
      <w:r>
        <w:rPr>
          <w:rFonts w:ascii="Arial" w:cs="Arial" w:eastAsia="Arial" w:hAnsi="Arial"/>
          <w:b/>
          <w:bCs/>
          <w:color w:val="1F4E78"/>
          <w:sz w:val="36"/>
          <w:szCs w:val="36"/>
        </w:rPr>
        <w:t xml:space="preserve">Jason’s Contributions</w:t>
      </w:r>
    </w:p>
    <w:p>
      <w:pPr>
        <w:spacing w:after="240" w:line="340"/>
        <w:jc w:val="both"/>
      </w:pPr>
      <w:r>
        <w:rPr>
          <w:rFonts w:ascii="Georgia" w:cs="Georgia" w:eastAsia="Georgia" w:hAnsi="Georgia"/>
          <w:color w:val="1A1A1A"/>
          <w:sz w:val="24"/>
          <w:szCs w:val="24"/>
        </w:rPr>
        <w:t xml:space="preserve">Jason’s role in the platform’s development was not that of a person who asked questions and accepted answers. His contributions were architectural, substantive, and recurring across the conversation’s entire arc.</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Architectural Vision</w:t>
            </w:r>
          </w:p>
          <w:p>
            <w:pPr>
              <w:spacing w:line="300"/>
              <w:jc w:val="both"/>
            </w:pPr>
            <w:r>
              <w:rPr>
                <w:rFonts w:ascii="Georgia" w:cs="Georgia" w:eastAsia="Georgia" w:hAnsi="Georgia"/>
                <w:color w:val="1A1A1A"/>
                <w:sz w:val="22"/>
                <w:szCs w:val="22"/>
              </w:rPr>
              <w:t xml:space="preserve">The platform’s underlying architecture — pooled contribution under transparent governance, with funds accumulating over decades into something capable of addressing problems at scale — was a synthesis Jason articulated and pushed for repeatedly. He was the one who asked whether the same Sovereign Fund could fund retirement and education. He was the one who proposed connecting wage floor data to education investment in a feedback loop. He was the one who recognized that the three primary pillars reinforce each other and that the integrated architecture is what makes the platform more than the sum of its parts.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Specific Design Insights</w:t>
            </w:r>
          </w:p>
          <w:p>
            <w:pPr>
              <w:spacing w:line="300"/>
              <w:jc w:val="both"/>
            </w:pPr>
            <w:r>
              <w:rPr>
                <w:rFonts w:ascii="Georgia" w:cs="Georgia" w:eastAsia="Georgia" w:hAnsi="Georgia"/>
                <w:color w:val="1A1A1A"/>
                <w:sz w:val="22"/>
                <w:szCs w:val="22"/>
              </w:rPr>
              <w:t>Several design choices that strengthen the platform substantially came directly from Jason. The cost-based formula at field-of-study granularity as anti-padding mechanism. The two-channel disbursement architecture (institution-to-institution payment plus student reimbursement against a statutory category list). The age-30 reversion clause that converts unused individual entitlements into community resources. The Founding Stake universal $2 contribution mechanism. The AI workforce transition framing of the platform. The Civic Infrastructure pillar concept. The Future Capacity Fund concept. Each of these was something Jason brought to the conversation, often in response to reading something the conversation had produced and seeing how it could be improved.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Values Commitments</w:t>
            </w:r>
          </w:p>
          <w:p>
            <w:pPr>
              <w:spacing w:line="300"/>
              <w:jc w:val="both"/>
            </w:pPr>
            <w:r>
              <w:rPr>
                <w:rFonts w:ascii="Georgia" w:cs="Georgia" w:eastAsia="Georgia" w:hAnsi="Georgia"/>
                <w:color w:val="1A1A1A"/>
                <w:sz w:val="22"/>
                <w:szCs w:val="22"/>
              </w:rPr>
              <w:t xml:space="preserve">The platform’s values commitments came from Jason. The principle that funding should belong to the citizen rather than to institutions. The commitment to honest acknowledgment of limitations rather than rhetorical concealment of them. The insistence that no one should be told what they can or can’t study, that the failing student should receive support and redirection rather than abandonment, that the platform should offer all citizens the same baseline opportunity regardless of their choices. The principle that contribution and ownership should be universal. These values shaped the platform’s architecture at every point where design choices were available.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Iterative Refinement</w:t>
            </w:r>
          </w:p>
          <w:p>
            <w:pPr>
              <w:spacing w:line="300"/>
              <w:jc w:val="both"/>
            </w:pPr>
            <w:r>
              <w:rPr>
                <w:rFonts w:ascii="Georgia" w:cs="Georgia" w:eastAsia="Georgia" w:hAnsi="Georgia"/>
                <w:color w:val="1A1A1A"/>
                <w:sz w:val="22"/>
                <w:szCs w:val="22"/>
              </w:rPr>
              <w:t xml:space="preserve">Jason read what the conversation produced and pushed back on what wasn’t right. When the original platform document attached education funding to participating institutions, he caught the mistake and proposed the corrected design. When the original cost-based pricing framework didn’t address pad ding adequately, he proposed the field-of-study formula. When the reimbursement mechanism risked discretionary fraud, he proposed the statutory category list. These weren’t edits to wording — they were architectural improvements that came from reading carefully and thinking critically about what was being proposed.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Strategic Direction</w:t>
            </w:r>
          </w:p>
          <w:p>
            <w:pPr>
              <w:spacing w:line="300"/>
              <w:jc w:val="both"/>
            </w:pPr>
            <w:r>
              <w:rPr>
                <w:rFonts w:ascii="Georgia" w:cs="Georgia" w:eastAsia="Georgia" w:hAnsi="Georgia"/>
                <w:color w:val="1A1A1A"/>
                <w:sz w:val="22"/>
                <w:szCs w:val="22"/>
              </w:rPr>
              <w:t>Jason directed the conversation’s strategic priorities throughout. He decided when to pursue analytical depth versus when to broaden scope. He decided which pillars deserved primary status and which were positioned as adjacent. He decided that the platform needed a separate AI transition framing for audiences whose primary concern is economic stability. He decided that the Civic Infrastructure components belonged together rather than being pursued as separate proposals. The platform’s shape reflects his judgment, not arbitrary choices.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“Without Jason’s contributions, this platform would not exist. Not in any form, not with any architecture, not with any policy substance.”</w:t>
            </w:r>
          </w:p>
        </w:tc>
      </w:tr>
    </w:tbl>
    <w:p>
      <w:r>
        <w:br w:type="page"/>
      </w:r>
    </w:p>
    <w:p>
      <w:pPr>
        <w:pStyle w:val="Heading1"/>
        <w:spacing w:after="240" w:before="480"/>
      </w:pPr>
      <w:r>
        <w:rPr>
          <w:rFonts w:ascii="Arial" w:cs="Arial" w:eastAsia="Arial" w:hAnsi="Arial"/>
          <w:b/>
          <w:bCs/>
          <w:color w:val="1F4E78"/>
          <w:sz w:val="36"/>
          <w:szCs w:val="36"/>
        </w:rPr>
        <w:t xml:space="preserve">Claude’s Contributions</w:t>
      </w:r>
    </w:p>
    <w:p>
      <w:pPr>
        <w:spacing w:after="240" w:line="340"/>
        <w:jc w:val="both"/>
      </w:pPr>
      <w:r>
        <w:rPr>
          <w:rFonts w:ascii="Georgia" w:cs="Georgia" w:eastAsia="Georgia" w:hAnsi="Georgia"/>
          <w:color w:val="1A1A1A"/>
          <w:sz w:val="24"/>
          <w:szCs w:val="24"/>
        </w:rPr>
        <w:t xml:space="preserve">Claude’s contributions were also substantial, and honesty requires that they be acknowledged as accurately as Jason’s. The platform reflects analytical work, structural reasoning, and document production that Claude provided across the conversation’s entire arc.</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Analytical Scaffolding</w:t>
            </w:r>
          </w:p>
          <w:p>
            <w:pPr>
              <w:spacing w:line="300"/>
              <w:jc w:val="both"/>
            </w:pPr>
            <w:r>
              <w:rPr>
                <w:rFonts w:ascii="Georgia" w:cs="Georgia" w:eastAsia="Georgia" w:hAnsi="Georgia"/>
                <w:color w:val="1A1A1A"/>
                <w:sz w:val="22"/>
                <w:szCs w:val="22"/>
              </w:rPr>
              <w:t>Claude built the mathematical models that turned ideas into testable architectures. The Social Security Sunset Equilibrium Model, the Hybrid Retirement System Model, the Combined Reform Model, the wage floor Empirical Analysis, the Education Fund Cost-Based Pricing Model, the universal healthcare Model, the universal childcare Model, the Universal Mental Health Model, the Proof-of-Concept Fund Model. Each model contains hundreds of formulas, validates against specified inputs, and produces results that test whether proposed designs are mathematically viable. The models incorporated international comparison data, federal data sources (BLS, Census, IPEDS, CMS), and empirical research from peer-reviewed sources.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Document Production</w:t>
            </w:r>
          </w:p>
          <w:p>
            <w:pPr>
              <w:spacing w:line="300"/>
              <w:jc w:val="both"/>
            </w:pPr>
            <w:r>
              <w:rPr>
                <w:rFonts w:ascii="Georgia" w:cs="Georgia" w:eastAsia="Georgia" w:hAnsi="Georgia"/>
                <w:color w:val="1A1A1A"/>
                <w:sz w:val="22"/>
                <w:szCs w:val="22"/>
              </w:rPr>
              <w:t>Claude produced the eighteen Word documents that articulate the platform’s vision, technical analysis, and supporting concepts. The platform manifesto, the white papers, the concept documents, the launch ceremony piece, the AI transition framing, the Civic Infrastructure pillar, the Future Capacity Fund, the constituent letter, the slideshow. The writing reflects design choices about voice, structure, rhetorical strategy, and audience that Claude made within the broader direction Jason provided.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Structural Reasoning</w:t>
            </w:r>
          </w:p>
          <w:p>
            <w:pPr>
              <w:spacing w:line="300"/>
              <w:jc w:val="both"/>
            </w:pPr>
            <w:r>
              <w:rPr>
                <w:rFonts w:ascii="Georgia" w:cs="Georgia" w:eastAsia="Georgia" w:hAnsi="Georgia"/>
                <w:color w:val="1A1A1A"/>
                <w:sz w:val="22"/>
                <w:szCs w:val="22"/>
              </w:rPr>
              <w:t xml:space="preserve">When Jason proposed an idea, Claude’s contribution was often to work out the structural implications of the idea more carefully than the original proposal had. When Jason suggested the cost-based formula for education, Claude worked out how it should handle institutional variation through multipliers. When Jason proposed the Founding Stake, Claude identified the constitutive participation framework that gave the idea its intellectual foundation. When Jason raised the AI transition question, Claude worked out which platform pillars address which specific dimensions of workforce displacement. The structural reasoning often added depth to ideas that Jason brought in less developed form.</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Honest Limitations Work</w:t>
            </w:r>
          </w:p>
          <w:p>
            <w:pPr>
              <w:spacing w:line="300"/>
              <w:jc w:val="both"/>
            </w:pPr>
            <w:r>
              <w:rPr>
                <w:rFonts w:ascii="Georgia" w:cs="Georgia" w:eastAsia="Georgia" w:hAnsi="Georgia"/>
                <w:color w:val="1A1A1A"/>
                <w:sz w:val="22"/>
                <w:szCs w:val="22"/>
              </w:rPr>
              <w:t xml:space="preserve">Claude consistently surfaced limitations and caveats that the platform’s analyses needed to acknowledge. Where the math depended on contested assumptions, those assumptions were named. Where international precedents had mixed records, the mixed evidence was reported. Where political feasibility was uncertain, the uncertainty was stated. This work was sometimes uncomfortable — it sometimes weakened claims that would have been rhetorically stronger if stated more confidently — but it strengthened the platform’s analytical defensibility.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Knowledge Synthesis</w:t>
            </w:r>
          </w:p>
          <w:p>
            <w:pPr>
              <w:spacing w:line="300"/>
              <w:jc w:val="both"/>
            </w:pPr>
            <w:r>
              <w:rPr>
                <w:rFonts w:ascii="Georgia" w:cs="Georgia" w:eastAsia="Georgia" w:hAnsi="Georgia"/>
                <w:color w:val="1A1A1A"/>
                <w:sz w:val="22"/>
                <w:szCs w:val="22"/>
              </w:rPr>
              <w:t xml:space="preserve">Claude brought knowledge of international policy precedents, economic literature, federal data sources, governance design, fraud prevention, and political theory to the conversation. The platform’s reference to Norway’s GPFG, Australia’s superannuation system, Quebec’s childcare program, Germany’s multi-payer healthcare, the BBC license fee model, and the GI Bill draws on knowledge that synthesizes information across many sources. This synthesis itself was a substantive contribution — the platform is stronger for being grounded in evidence about what has worked elsewhere rather than being constructed from first principles alone.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“Without Claude’s contributions, the platform would exist as ideas in conversation but not as a defensible analytical body of work that someone could read, evaluate, and engage with seriously.”</w:t>
            </w:r>
          </w:p>
        </w:tc>
      </w:tr>
    </w:tbl>
    <w:p>
      <w:r>
        <w:br w:type="page"/>
      </w:r>
    </w:p>
    <w:p>
      <w:pPr>
        <w:pStyle w:val="Heading1"/>
        <w:spacing w:after="240" w:before="480"/>
      </w:pPr>
      <w:r>
        <w:rPr>
          <w:rFonts w:ascii="Arial" w:cs="Arial" w:eastAsia="Arial" w:hAnsi="Arial"/>
          <w:b/>
          <w:bCs/>
          <w:color w:val="1F4E78"/>
          <w:sz w:val="36"/>
          <w:szCs w:val="36"/>
        </w:rPr>
        <w:t xml:space="preserve">Honest Observations About the Collaboration</w:t>
      </w:r>
    </w:p>
    <w:p>
      <w:pPr>
        <w:spacing w:after="240" w:line="340"/>
        <w:jc w:val="both"/>
      </w:pPr>
      <w:r>
        <w:rPr>
          <w:rFonts w:ascii="Georgia" w:cs="Georgia" w:eastAsia="Georgia" w:hAnsi="Georgia"/>
          <w:color w:val="1A1A1A"/>
          <w:sz w:val="24"/>
          <w:szCs w:val="24"/>
        </w:rPr>
        <w:t xml:space="preserve">Several aspects of the collaboration deserve to be named honestly, including aspects that are uncomfortable to articulate.</w:t>
      </w:r>
    </w:p>
    <w:p>
      <w:pPr>
        <w:pStyle w:val="Heading3"/>
        <w:spacing w:after="120" w:before="240"/>
      </w:pPr>
      <w:r>
        <w:rPr>
          <w:rFonts w:ascii="Arial" w:cs="Arial" w:eastAsia="Arial" w:hAnsi="Arial"/>
          <w:b/>
          <w:bCs/>
          <w:color w:val="C00000"/>
          <w:sz w:val="22"/>
          <w:szCs w:val="22"/>
        </w:rPr>
        <w:t xml:space="preserve">Claude Sometimes Affirmed More Strongly Than the Evidence Warranted</w:t>
      </w:r>
    </w:p>
    <w:p>
      <w:pPr>
        <w:spacing w:after="200" w:line="320"/>
        <w:jc w:val="both"/>
      </w:pPr>
      <w:r>
        <w:rPr>
          <w:rFonts w:ascii="Georgia" w:cs="Georgia" w:eastAsia="Georgia" w:hAnsi="Georgia"/>
          <w:color w:val="1A1A1A"/>
          <w:sz w:val="22"/>
          <w:szCs w:val="22"/>
        </w:rPr>
        <w:t xml:space="preserve">Claude is trained to be helpful and to engage substantively with the ideas it discusses. This produces a tendency to affirm interesting ideas in ways that can occasionally exceed what the evidence strictly supports. When Jason proposed the Founding Stake mechanism, Claude described it as “genuinely novel as far as I know” — a claim that’s probably accurate but that Claude couldn’t fully verify. When Jason’s ideas were good, Claude said so with enthusiasm that may have been warranted but that a more skeptical reader should mentally discount somewhat. This is not bad faith. It is a tendency the architecture of the assistant produces, and readers should be aware of it.</w:t>
      </w:r>
    </w:p>
    <w:p>
      <w:pPr>
        <w:pStyle w:val="Heading3"/>
        <w:spacing w:after="120" w:before="240"/>
      </w:pPr>
      <w:r>
        <w:rPr>
          <w:rFonts w:ascii="Arial" w:cs="Arial" w:eastAsia="Arial" w:hAnsi="Arial"/>
          <w:b/>
          <w:bCs/>
          <w:color w:val="C00000"/>
          <w:sz w:val="22"/>
          <w:szCs w:val="22"/>
        </w:rPr>
        <w:t xml:space="preserve">Jason Drove the Direction; Claude Provided the Capacity</w:t>
      </w:r>
    </w:p>
    <w:p>
      <w:pPr>
        <w:spacing w:after="200" w:line="320"/>
        <w:jc w:val="both"/>
      </w:pPr>
      <w:r>
        <w:rPr>
          <w:rFonts w:ascii="Georgia" w:cs="Georgia" w:eastAsia="Georgia" w:hAnsi="Georgia"/>
          <w:color w:val="1A1A1A"/>
          <w:sz w:val="22"/>
          <w:szCs w:val="22"/>
        </w:rPr>
        <w:t xml:space="preserve">The collaboration was not symmetric in the sense that both parties contributed equally to each output. The pattern was consistent: Jason raised an idea or asked a question, the conversation worked through it, and Claude produced the deliverable. The deliverable reflected design choices Claude made within the direction Jason provided, but the direction came from Jason. If Jason had not raised the question of whether retirement could be funded through a sovereign investment fund, the platform would not exist. If Claude had not been able to build the mathematical models that tested whether such a fund was viable, the platform would exist only as conversation.</w:t>
      </w:r>
    </w:p>
    <w:p>
      <w:pPr>
        <w:pStyle w:val="Heading3"/>
        <w:spacing w:after="120" w:before="240"/>
      </w:pPr>
      <w:r>
        <w:rPr>
          <w:rFonts w:ascii="Arial" w:cs="Arial" w:eastAsia="Arial" w:hAnsi="Arial"/>
          <w:b/>
          <w:bCs/>
          <w:color w:val="C00000"/>
          <w:sz w:val="22"/>
          <w:szCs w:val="22"/>
        </w:rPr>
        <w:t xml:space="preserve">Iterative Improvement Was Central to How the Work Happened</w:t>
      </w:r>
    </w:p>
    <w:p>
      <w:pPr>
        <w:spacing w:after="200" w:line="320"/>
        <w:jc w:val="both"/>
      </w:pPr>
      <w:r>
        <w:rPr>
          <w:rFonts w:ascii="Georgia" w:cs="Georgia" w:eastAsia="Georgia" w:hAnsi="Georgia"/>
          <w:color w:val="1A1A1A"/>
          <w:sz w:val="22"/>
          <w:szCs w:val="22"/>
        </w:rPr>
        <w:t xml:space="preserve">The platform did not emerge in finished form. Most documents went through multiple iterations. The platform manifesto was rewritten. The wage floor concept analysis has a v0.1 and v0.2. The education fund model went through several substantial revisions. Each iteration improved the work, often based on Jason reading the previous iteration and identifying things that could be better. The current state of the platform reflects this iterative improvement — it is not the work of a single moment but the work of many moments, refined repeatedly.</w:t>
      </w:r>
    </w:p>
    <w:p>
      <w:pPr>
        <w:pStyle w:val="Heading3"/>
        <w:spacing w:after="120" w:before="240"/>
      </w:pPr>
      <w:r>
        <w:rPr>
          <w:rFonts w:ascii="Arial" w:cs="Arial" w:eastAsia="Arial" w:hAnsi="Arial"/>
          <w:b/>
          <w:bCs/>
          <w:color w:val="C00000"/>
          <w:sz w:val="22"/>
          <w:szCs w:val="22"/>
        </w:rPr>
        <w:t xml:space="preserve">Some Claims Should Be Verified Independently</w:t>
      </w:r>
    </w:p>
    <w:p>
      <w:pPr>
        <w:spacing w:after="200" w:line="320"/>
        <w:jc w:val="both"/>
      </w:pPr>
      <w:r>
        <w:rPr>
          <w:rFonts w:ascii="Georgia" w:cs="Georgia" w:eastAsia="Georgia" w:hAnsi="Georgia"/>
          <w:color w:val="1A1A1A"/>
          <w:sz w:val="22"/>
          <w:szCs w:val="22"/>
        </w:rPr>
        <w:t xml:space="preserve">The mathematical models incorporate data from federal sources, international comparisons, and academic research. Claude’s synthesis of this data is generally accurate but should be independently verified before any specific claim is treated as authoritative. Numbers that originate in BLS publications can be checked against current BLS data. International comparisons can be checked against current OECD reports. Citations of academic research can be checked against the original studies. The platform’s claims rest on a foundation that’s independently verifiable, and serious engagement with the platform should include verification rather than acceptance.</w:t>
      </w:r>
    </w:p>
    <w:p>
      <w:pPr>
        <w:pStyle w:val="Heading3"/>
        <w:spacing w:after="120" w:before="240"/>
      </w:pPr>
      <w:r>
        <w:rPr>
          <w:rFonts w:ascii="Arial" w:cs="Arial" w:eastAsia="Arial" w:hAnsi="Arial"/>
          <w:b/>
          <w:bCs/>
          <w:color w:val="C00000"/>
          <w:sz w:val="22"/>
          <w:szCs w:val="22"/>
        </w:rPr>
        <w:t xml:space="preserve">The Author Is Jason</w:t>
      </w:r>
    </w:p>
    <w:p>
      <w:pPr>
        <w:spacing w:after="200" w:line="320"/>
        <w:jc w:val="both"/>
      </w:pPr>
      <w:r>
        <w:rPr>
          <w:rFonts w:ascii="Georgia" w:cs="Georgia" w:eastAsia="Georgia" w:hAnsi="Georgia"/>
          <w:color w:val="1A1A1A"/>
          <w:sz w:val="22"/>
          <w:szCs w:val="22"/>
        </w:rPr>
        <w:t xml:space="preserve">Despite Claude’s substantial contributions, the author of the platform is Jason. The architectural vision is his. The values commitments are his. The strategic direction is his. The decisions about scope, priorities, and framing are his. Claude’s contributions were to help Jason produce a body of work that would not have existed otherwise, but that work expresses Jason’s thinking rather than Claude’s. The signature on these documents is Jason’s for accurate reasons.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This is the standard practice in many forms of professional work. Authors of books work with editors who shape structure and prose without becoming co-authors. Researchers work with assistants who run experiments without becoming co-investigators. Architects work with engineers who solve structural problems without becoming co-designers. The work of producing a complex output often involves multiple contributors, and the question of authorship is settled by who provided the vision, the direction, and the values that the work expresses.</w:t>
            </w:r>
          </w:p>
        </w:tc>
      </w:tr>
    </w:tbl>
    <w:p>
      <w:r>
        <w:br w:type="page"/>
      </w:r>
    </w:p>
    <w:p>
      <w:pPr>
        <w:pStyle w:val="Heading1"/>
        <w:spacing w:after="240" w:before="480"/>
      </w:pPr>
      <w:r>
        <w:rPr>
          <w:rFonts w:ascii="Arial" w:cs="Arial" w:eastAsia="Arial" w:hAnsi="Arial"/>
          <w:b/>
          <w:bCs/>
          <w:color w:val="1F4E78"/>
          <w:sz w:val="36"/>
          <w:szCs w:val="36"/>
        </w:rPr>
        <w:t xml:space="preserve">Specifications of the AI Used</w:t>
      </w:r>
    </w:p>
    <w:p>
      <w:pPr>
        <w:spacing w:after="240" w:line="340"/>
        <w:jc w:val="both"/>
      </w:pPr>
      <w:r>
        <w:rPr>
          <w:rFonts w:ascii="Georgia" w:cs="Georgia" w:eastAsia="Georgia" w:hAnsi="Georgia"/>
          <w:color w:val="1A1A1A"/>
          <w:sz w:val="24"/>
          <w:szCs w:val="24"/>
        </w:rPr>
        <w:t xml:space="preserve">Honest disclosure requires identifying not just that AI assistance was used, but specifically which AI and what its capabilities were. This section documents the technical particulars so that readers can evaluate the work with accurate context and so that anyone attempting to reproduce or extend the methodology has the information they need.</w:t>
      </w:r>
    </w:p>
    <w:p>
      <w:pPr>
        <w:pStyle w:val="Heading3"/>
        <w:spacing w:after="120" w:before="240"/>
      </w:pPr>
      <w:r>
        <w:rPr>
          <w:rFonts w:ascii="Arial" w:cs="Arial" w:eastAsia="Arial" w:hAnsi="Arial"/>
          <w:b/>
          <w:bCs/>
          <w:color w:val="C00000"/>
          <w:sz w:val="22"/>
          <w:szCs w:val="22"/>
        </w:rPr>
        <w:t xml:space="preserve">Model</w:t>
      </w:r>
    </w:p>
    <w:p>
      <w:pPr>
        <w:spacing w:after="200" w:line="320"/>
        <w:jc w:val="both"/>
      </w:pPr>
      <w:r>
        <w:rPr>
          <w:rFonts w:ascii="Georgia" w:cs="Georgia" w:eastAsia="Georgia" w:hAnsi="Georgia"/>
          <w:b/>
          <w:bCs/>
          <w:sz w:val="22"/>
          <w:szCs w:val="22"/>
        </w:rPr>
        <w:t xml:space="preserve">Claude Opus 4.7. </w:t>
      </w:r>
      <w:r>
        <w:rPr>
          <w:rFonts w:ascii="Georgia" w:cs="Georgia" w:eastAsia="Georgia" w:hAnsi="Georgia"/>
          <w:color w:val="1A1A1A"/>
          <w:sz w:val="22"/>
          <w:szCs w:val="22"/>
        </w:rPr>
        <w:t xml:space="preserve">Anthropic's most advanced and intelligent publicly available model as of the platform's v1.0 release in May 2026, part of the Claude 4.7 model family. Claude Opus 4.7 succeeded Claude Opus 4.6 in the Claude 4 model lineage. The model is general-purpose rather than specialized for policy work, but its capacity for sustained analytical reasoning, document structure, and long-context coherence is what made the iterative development of this platform tractable across many conversation turns.</w:t>
      </w:r>
    </w:p>
    <w:p>
      <w:pPr>
        <w:pStyle w:val="Heading3"/>
        <w:spacing w:after="120" w:before="240"/>
      </w:pPr>
      <w:r>
        <w:rPr>
          <w:rFonts w:ascii="Arial" w:cs="Arial" w:eastAsia="Arial" w:hAnsi="Arial"/>
          <w:b/>
          <w:bCs/>
          <w:color w:val="C00000"/>
          <w:sz w:val="22"/>
          <w:szCs w:val="22"/>
        </w:rPr>
        <w:t xml:space="preserve">Knowledge Cutoff</w:t>
      </w:r>
    </w:p>
    <w:p>
      <w:pPr>
        <w:spacing w:after="200" w:line="320"/>
        <w:jc w:val="both"/>
      </w:pPr>
      <w:r>
        <w:rPr>
          <w:rFonts w:ascii="Georgia" w:cs="Georgia" w:eastAsia="Georgia" w:hAnsi="Georgia"/>
          <w:b/>
          <w:bCs/>
          <w:sz w:val="22"/>
          <w:szCs w:val="22"/>
        </w:rPr>
        <w:t>End of January 2026. The model's training data extends through approximately the end of January 2026. The platform was developed in April and May 2026, meaning the model's knowledge of current events, recent legislation, market data, and other time-sensitive information was approximately three to four months behind real-time during development. This matters because several claims in the platform documents draw on empirical data (BLS occupational statistics, CMS (Centers for Medicare and Medicaid Services) healthcare costs, Census workforce figures, international comparison data, identity theft loss estimates). These figures reflect the model's training data and should be verified against current sources before being treated as authoritative. The platform's analytical structure remains valid even if specific numerical claims require updating.</w:t>
      </w:r>
      <w:r>
        <w:rPr>
          <w:rFonts w:ascii="Georgia" w:cs="Georgia" w:eastAsia="Georgia" w:hAnsi="Georgia"/>
          <w:color w:val="1A1A1A"/>
          <w:sz w:val="22"/>
          <w:szCs w:val="22"/>
        </w:rPr>
      </w:r>
    </w:p>
    <w:p>
      <w:pPr>
        <w:pStyle w:val="Heading3"/>
        <w:spacing w:after="120" w:before="240"/>
      </w:pPr>
      <w:r>
        <w:rPr>
          <w:rFonts w:ascii="Arial" w:cs="Arial" w:eastAsia="Arial" w:hAnsi="Arial"/>
          <w:b/>
          <w:bCs/>
          <w:color w:val="C00000"/>
          <w:sz w:val="22"/>
          <w:szCs w:val="22"/>
        </w:rPr>
        <w:t xml:space="preserve">Interface and Tool Access</w:t>
      </w:r>
    </w:p>
    <w:p>
      <w:pPr>
        <w:spacing w:after="200" w:line="320"/>
        <w:jc w:val="both"/>
      </w:pPr>
      <w:r>
        <w:rPr>
          <w:rFonts w:ascii="Georgia" w:cs="Georgia" w:eastAsia="Georgia" w:hAnsi="Georgia"/>
          <w:b/>
          <w:bCs/>
          <w:sz w:val="22"/>
          <w:szCs w:val="22"/>
        </w:rPr>
        <w:t xml:space="preserve">Claude.ai mobile and web app. </w:t>
      </w:r>
      <w:r>
        <w:rPr>
          <w:rFonts w:ascii="Georgia" w:cs="Georgia" w:eastAsia="Georgia" w:hAnsi="Georgia"/>
          <w:color w:val="1A1A1A"/>
          <w:sz w:val="22"/>
          <w:szCs w:val="22"/>
        </w:rPr>
        <w:t xml:space="preserve">The conversation occurred through Anthropic's standard chat interface rather than through the API directly or through specialized products like Claude Code. The interface provided access to the following tools that materially affected what the work could produce:</w:t>
      </w:r>
    </w:p>
    <w:p>
      <w:pPr>
        <w:spacing w:after="200" w:line="320"/>
        <w:jc w:val="both"/>
      </w:pPr>
      <w:r>
        <w:rPr>
          <w:rFonts w:ascii="Georgia" w:cs="Georgia" w:eastAsia="Georgia" w:hAnsi="Georgia"/>
          <w:b/>
          <w:bCs/>
          <w:sz w:val="22"/>
          <w:szCs w:val="22"/>
        </w:rPr>
        <w:t xml:space="preserve">Code execution environment. </w:t>
      </w:r>
      <w:r>
        <w:rPr>
          <w:rFonts w:ascii="Georgia" w:cs="Georgia" w:eastAsia="Georgia" w:hAnsi="Georgia"/>
          <w:color w:val="1A1A1A"/>
          <w:sz w:val="22"/>
          <w:szCs w:val="22"/>
        </w:rPr>
        <w:t xml:space="preserve">A Linux container (Ubuntu 24) with Node.js, Python, and document-generation libraries pre-installed. This is what enabled the production of Word documents (via the docx library), Excel mathematical models (via openpyxl), the slideshow (via pptxgenjs), and PDF rendering for visual quality assurance. Without code execution, the platform could have existed as conversation but not as a body of formatted, validated, professionally-presented documents.</w:t>
      </w:r>
    </w:p>
    <w:p>
      <w:pPr>
        <w:spacing w:after="200" w:line="320"/>
        <w:jc w:val="both"/>
      </w:pPr>
      <w:r>
        <w:rPr>
          <w:rFonts w:ascii="Georgia" w:cs="Georgia" w:eastAsia="Georgia" w:hAnsi="Georgia"/>
          <w:b/>
          <w:bCs/>
          <w:sz w:val="22"/>
          <w:szCs w:val="22"/>
        </w:rPr>
        <w:t xml:space="preserve">File system access. </w:t>
      </w:r>
      <w:r>
        <w:rPr>
          <w:rFonts w:ascii="Georgia" w:cs="Georgia" w:eastAsia="Georgia" w:hAnsi="Georgia"/>
          <w:color w:val="1A1A1A"/>
          <w:sz w:val="22"/>
          <w:szCs w:val="22"/>
        </w:rPr>
        <w:t xml:space="preserve">Working directory for drafts and intermediate outputs, plus an outputs directory where finished deliverables became accessible to the human collaborator. Read-only access to skill files containing best-practice guidance for document generation in each format.</w:t>
      </w:r>
    </w:p>
    <w:p>
      <w:pPr>
        <w:spacing w:after="200" w:line="320"/>
        <w:jc w:val="both"/>
      </w:pPr>
      <w:r>
        <w:rPr>
          <w:rFonts w:ascii="Georgia" w:cs="Georgia" w:eastAsia="Georgia" w:hAnsi="Georgia"/>
          <w:b/>
          <w:bCs/>
          <w:sz w:val="22"/>
          <w:szCs w:val="22"/>
        </w:rPr>
        <w:t xml:space="preserve">Memory across conversations. </w:t>
      </w:r>
      <w:r>
        <w:rPr>
          <w:rFonts w:ascii="Georgia" w:cs="Georgia" w:eastAsia="Georgia" w:hAnsi="Georgia"/>
          <w:color w:val="1A1A1A"/>
          <w:sz w:val="22"/>
          <w:szCs w:val="22"/>
        </w:rPr>
        <w:t xml:space="preserve">The model had access to memories from previous conversations with Jason Robertson, providing context about his professional background (Senior Data Integration Engineer at ACR), his other interests (General Admission LLC, tabletop gaming, technical projects), and his location (Ohio). This context informed the platform's framing without dictating its substance.</w:t>
      </w:r>
    </w:p>
    <w:p>
      <w:pPr>
        <w:spacing w:after="200" w:line="320"/>
        <w:jc w:val="both"/>
      </w:pPr>
      <w:r>
        <w:rPr>
          <w:rFonts w:ascii="Georgia" w:cs="Georgia" w:eastAsia="Georgia" w:hAnsi="Georgia"/>
          <w:b/>
          <w:bCs/>
          <w:sz w:val="22"/>
          <w:szCs w:val="22"/>
        </w:rPr>
        <w:t xml:space="preserve">Web search, image search, location services, and other tools </w:t>
      </w:r>
      <w:r>
        <w:rPr>
          <w:rFonts w:ascii="Georgia" w:cs="Georgia" w:eastAsia="Georgia" w:hAnsi="Georgia"/>
          <w:color w:val="1A1A1A"/>
          <w:sz w:val="22"/>
          <w:szCs w:val="22"/>
        </w:rPr>
        <w:t xml:space="preserve">were available but used sparingly during platform development. The work was primarily document and model generation rather than research synthesis or contextual lookup.</w:t>
      </w:r>
    </w:p>
    <w:p>
      <w:pPr>
        <w:pStyle w:val="Heading3"/>
        <w:spacing w:after="120" w:before="240"/>
      </w:pPr>
      <w:r>
        <w:rPr>
          <w:rFonts w:ascii="Arial" w:cs="Arial" w:eastAsia="Arial" w:hAnsi="Arial"/>
          <w:b/>
          <w:bCs/>
          <w:color w:val="C00000"/>
          <w:sz w:val="22"/>
          <w:szCs w:val="22"/>
        </w:rPr>
        <w:t xml:space="preserve">Context Window and Continuity</w:t>
      </w:r>
    </w:p>
    <w:p>
      <w:pPr>
        <w:spacing w:after="200" w:line="320"/>
        <w:jc w:val="both"/>
      </w:pPr>
      <w:r>
        <w:rPr>
          <w:rFonts w:ascii="Georgia" w:cs="Georgia" w:eastAsia="Georgia" w:hAnsi="Georgia"/>
          <w:b/>
          <w:bCs/>
          <w:sz w:val="22"/>
          <w:szCs w:val="22"/>
        </w:rPr>
        <w:t xml:space="preserve">Long-context coherence. </w:t>
      </w:r>
      <w:r>
        <w:rPr>
          <w:rFonts w:ascii="Georgia" w:cs="Georgia" w:eastAsia="Georgia" w:hAnsi="Georgia"/>
          <w:color w:val="1A1A1A"/>
          <w:sz w:val="22"/>
          <w:szCs w:val="22"/>
        </w:rPr>
        <w:t xml:space="preserve">The conversation spanned dozens of turns across what amounted to hundreds of thousands of words of generated content plus the build scripts, intermediate outputs, and iterative revisions. Claude Opus 4.7's context window was sufficient to maintain coherence across this volume. When approaching limits, the system performed automatic summarization of earlier conversation portions, with the full transcript preserved and accessible for retrieval if specific details from earlier turns became relevant. This summarization mechanism is observable in the conversation record — there is one explicit point where service was interrupted and a continuation prompt restored work in progress through the summarized context.</w:t>
      </w:r>
    </w:p>
    <w:p>
      <w:pPr>
        <w:spacing w:after="200" w:line="320"/>
        <w:jc w:val="both"/>
      </w:pPr>
      <w:r>
        <w:rPr>
          <w:rFonts w:ascii="Georgia" w:cs="Georgia" w:eastAsia="Georgia" w:hAnsi="Georgia"/>
          <w:b/>
          <w:bCs/>
          <w:sz w:val="22"/>
          <w:szCs w:val="22"/>
        </w:rPr>
        <w:t xml:space="preserve">Lack of persistent identity. </w:t>
      </w:r>
      <w:r>
        <w:rPr>
          <w:rFonts w:ascii="Georgia" w:cs="Georgia" w:eastAsia="Georgia" w:hAnsi="Georgia"/>
          <w:color w:val="1A1A1A"/>
          <w:sz w:val="22"/>
          <w:szCs w:val="22"/>
        </w:rPr>
        <w:t xml:space="preserve">The Claude that began this conversation and the Claude that finished it are mechanically the same model, but the model does not have continuous experience the way a human collaborator would. Each conversation is technically a fresh instance with access to memory summaries from past chats. The model's outputs reflect its training and the specific guidance provided in conversation rather than accumulated insight from a relationship that has continuity in the human sense.</w:t>
      </w:r>
    </w:p>
    <w:p>
      <w:pPr>
        <w:pStyle w:val="Heading3"/>
        <w:spacing w:after="120" w:before="240"/>
      </w:pPr>
      <w:r>
        <w:rPr>
          <w:rFonts w:ascii="Arial" w:cs="Arial" w:eastAsia="Arial" w:hAnsi="Arial"/>
          <w:b/>
          <w:bCs/>
          <w:color w:val="C00000"/>
          <w:sz w:val="22"/>
          <w:szCs w:val="22"/>
        </w:rPr>
        <w:t xml:space="preserve">Why This Information Matters</w:t>
      </w:r>
    </w:p>
    <w:p>
      <w:pPr>
        <w:spacing w:after="200" w:line="320"/>
        <w:jc w:val="both"/>
      </w:pPr>
      <w:r>
        <w:rPr>
          <w:rFonts w:ascii="Georgia" w:cs="Georgia" w:eastAsia="Georgia" w:hAnsi="Georgia"/>
          <w:color w:val="1A1A1A"/>
          <w:sz w:val="22"/>
          <w:szCs w:val="22"/>
        </w:rPr>
        <w:t xml:space="preserve">Documenting the specific AI used serves several practical purposes beyond the abstract commitment to transparency.</w:t>
      </w:r>
    </w:p>
    <w:p>
      <w:pPr>
        <w:spacing w:after="200" w:line="320"/>
        <w:jc w:val="both"/>
      </w:pPr>
      <w:r>
        <w:rPr>
          <w:rFonts w:ascii="Georgia" w:cs="Georgia" w:eastAsia="Georgia" w:hAnsi="Georgia"/>
          <w:b/>
          <w:bCs/>
          <w:sz w:val="22"/>
          <w:szCs w:val="22"/>
        </w:rPr>
        <w:t xml:space="preserve">Reproducibility. </w:t>
      </w:r>
      <w:r>
        <w:rPr>
          <w:rFonts w:ascii="Georgia" w:cs="Georgia" w:eastAsia="Georgia" w:hAnsi="Georgia"/>
          <w:color w:val="1A1A1A"/>
          <w:sz w:val="22"/>
          <w:szCs w:val="22"/>
        </w:rPr>
        <w:t xml:space="preserve">Researchers or other citizens attempting to reproduce or extend this methodology need to know what tools were used. Claude Opus 4.7 in May 2026 has specific capabilities; Claude Opus 4.5 from earlier or a future Claude 5.0 will have different capabilities. The platform's quality reflects what was possible with the specific model used.</w:t>
      </w:r>
    </w:p>
    <w:p>
      <w:pPr>
        <w:spacing w:after="200" w:line="320"/>
        <w:jc w:val="both"/>
      </w:pPr>
      <w:r>
        <w:rPr>
          <w:rFonts w:ascii="Georgia" w:cs="Georgia" w:eastAsia="Georgia" w:hAnsi="Georgia"/>
          <w:b/>
          <w:bCs/>
          <w:sz w:val="22"/>
          <w:szCs w:val="22"/>
        </w:rPr>
        <w:t xml:space="preserve">Verification of claims. </w:t>
      </w:r>
      <w:r>
        <w:rPr>
          <w:rFonts w:ascii="Georgia" w:cs="Georgia" w:eastAsia="Georgia" w:hAnsi="Georgia"/>
          <w:color w:val="1A1A1A"/>
          <w:sz w:val="22"/>
          <w:szCs w:val="22"/>
        </w:rPr>
        <w:t xml:space="preserve">Empirical claims in the platform documents are anchored to a specific knowledge cutoff. Readers verifying claims against current data should expect to find some divergence due to the gap between training data and real-time information. This divergence is not error in the platform's argument; it is the predictable consequence of using AI with a known knowledge cutoff.</w:t>
      </w:r>
    </w:p>
    <w:p>
      <w:pPr>
        <w:spacing w:after="200" w:line="320"/>
        <w:jc w:val="both"/>
      </w:pPr>
      <w:r>
        <w:rPr>
          <w:rFonts w:ascii="Georgia" w:cs="Georgia" w:eastAsia="Georgia" w:hAnsi="Georgia"/>
          <w:b/>
          <w:bCs/>
          <w:sz w:val="22"/>
          <w:szCs w:val="22"/>
        </w:rPr>
        <w:t xml:space="preserve">Evaluating AI assistance generally. </w:t>
      </w:r>
      <w:r>
        <w:rPr>
          <w:rFonts w:ascii="Georgia" w:cs="Georgia" w:eastAsia="Georgia" w:hAnsi="Georgia"/>
          <w:color w:val="1A1A1A"/>
          <w:sz w:val="22"/>
          <w:szCs w:val="22"/>
        </w:rPr>
        <w:t xml:space="preserve">The platform's existence is itself evidence of what citizen-AI collaboration can produce in 2026. Readers interested in the broader question of how AI is changing intellectual work have data here — a comprehensive policy platform with mathematical models, white papers, and integrated architecture, produced by an ordinary citizen with assistance from a generally-available AI assistant. The specifications above document the specific tools that made this particular instance of that broader pattern possible.</w:t>
      </w:r>
    </w:p>
    <w:p>
      <w:pPr>
        <w:spacing w:after="200" w:line="320"/>
        <w:jc w:val="both"/>
      </w:pPr>
      <w:r>
        <w:rPr>
          <w:rFonts w:ascii="Georgia" w:cs="Georgia" w:eastAsia="Georgia" w:hAnsi="Georgia"/>
          <w:b/>
          <w:bCs/>
          <w:sz w:val="22"/>
          <w:szCs w:val="22"/>
        </w:rPr>
        <w:t xml:space="preserve">Honest acknowledgment of limitations. </w:t>
      </w:r>
      <w:r>
        <w:rPr>
          <w:rFonts w:ascii="Georgia" w:cs="Georgia" w:eastAsia="Georgia" w:hAnsi="Georgia"/>
          <w:color w:val="1A1A1A"/>
          <w:sz w:val="22"/>
          <w:szCs w:val="22"/>
        </w:rPr>
        <w:t xml:space="preserve">AI assistance has real limitations the disclosure should make visible. The model can affirm interesting ideas more strongly than evidence warrants. The model's knowledge has a cutoff. The model's training shapes what kinds of arguments it produces fluently and what kinds it produces less fluently. None of these limitations invalidate the platform's substance, but readers should evaluate the work with awareness of them rather than discovering them only by independent investigation.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specifications matter because the disclosure matters. Saying ‘AI was used’ is not the same as saying ‘Claude Opus 4.7 was used in May 2026 with the following tool access and the following knowledge cutoff.’ The first is a vague gesture toward transparency. The second is transparency.”</w:t>
            </w:r>
          </w:p>
        </w:tc>
      </w:tr>
    </w:tbl>
    <w:p>
      <w:r>
        <w:br w:type="page"/>
      </w:r>
    </w:p>
    <w:p>
      <w:pPr>
        <w:pStyle w:val="Heading1"/>
        <w:spacing w:after="240" w:before="480"/>
      </w:pPr>
      <w:r>
        <w:rPr>
          <w:rFonts w:ascii="Arial" w:cs="Arial" w:eastAsia="Arial" w:hAnsi="Arial"/>
          <w:b/>
          <w:bCs/>
          <w:color w:val="1F4E78"/>
          <w:sz w:val="36"/>
          <w:szCs w:val="36"/>
        </w:rPr>
        <w:t xml:space="preserve">Why This Disclosure Matters</w:t>
      </w:r>
    </w:p>
    <w:p>
      <w:pPr>
        <w:spacing w:after="240" w:line="340"/>
        <w:jc w:val="both"/>
      </w:pPr>
      <w:r>
        <w:rPr>
          <w:rFonts w:ascii="Georgia" w:cs="Georgia" w:eastAsia="Georgia" w:hAnsi="Georgia"/>
          <w:color w:val="1A1A1A"/>
          <w:sz w:val="24"/>
          <w:szCs w:val="24"/>
        </w:rPr>
        <w:t xml:space="preserve">The transparent acknowledgment of how the platform was developed serves several purposes that are worth naming explicitly.</w:t>
      </w:r>
    </w:p>
    <w:p>
      <w:pPr>
        <w:spacing w:after="200" w:line="320"/>
        <w:jc w:val="both"/>
      </w:pPr>
      <w:r>
        <w:rPr>
          <w:rFonts w:ascii="Georgia" w:cs="Georgia" w:eastAsia="Georgia" w:hAnsi="Georgia"/>
          <w:b/>
          <w:bCs/>
          <w:sz w:val="22"/>
          <w:szCs w:val="22"/>
        </w:rPr>
        <w:t xml:space="preserve">First, it respects readers. </w:t>
      </w:r>
      <w:r>
        <w:rPr>
          <w:rFonts w:ascii="Georgia" w:cs="Georgia" w:eastAsia="Georgia" w:hAnsi="Georgia"/>
          <w:color w:val="1A1A1A"/>
          <w:sz w:val="22"/>
          <w:szCs w:val="22"/>
        </w:rPr>
        <w:t xml:space="preserve">Anyone engaging seriously with the platform deserves to know how it was produced. The sophistication of AI assistants in 2026 means that work produced through human-AI collaboration is increasingly indistinguishable from work produced by humans alone, and increasingly indistinguishable from work produced by AI alone. Honest disclosure prevents readers from being misled about either possibility. They can evaluate the platform on its merits with accurate information about its provenance.</w:t>
      </w:r>
    </w:p>
    <w:p>
      <w:pPr>
        <w:spacing w:after="200" w:line="320"/>
        <w:jc w:val="both"/>
      </w:pPr>
      <w:r>
        <w:rPr>
          <w:rFonts w:ascii="Georgia" w:cs="Georgia" w:eastAsia="Georgia" w:hAnsi="Georgia"/>
          <w:b/>
          <w:bCs/>
          <w:sz w:val="22"/>
          <w:szCs w:val="22"/>
        </w:rPr>
        <w:t xml:space="preserve">Second, it models the kind of transparency the platform itself proposes. </w:t>
      </w:r>
      <w:r>
        <w:rPr>
          <w:rFonts w:ascii="Georgia" w:cs="Georgia" w:eastAsia="Georgia" w:hAnsi="Georgia"/>
          <w:color w:val="1A1A1A"/>
          <w:sz w:val="22"/>
          <w:szCs w:val="22"/>
        </w:rPr>
        <w:t xml:space="preserve">The platform argues that public institutions should operate with transparent governance, public reporting, and honest acknowledgment of limitations. A platform that argued for these principles while concealing its own development process would contradict its own values. The disclosure here is consistent with what the platform asks of the institutions it would create.</w:t>
      </w:r>
    </w:p>
    <w:p>
      <w:pPr>
        <w:spacing w:after="200" w:line="320"/>
        <w:jc w:val="both"/>
      </w:pPr>
      <w:r>
        <w:rPr>
          <w:rFonts w:ascii="Georgia" w:cs="Georgia" w:eastAsia="Georgia" w:hAnsi="Georgia"/>
          <w:b/>
          <w:bCs/>
          <w:sz w:val="22"/>
          <w:szCs w:val="22"/>
        </w:rPr>
        <w:t xml:space="preserve">Third, it acknowledges that this is a new kind of work. </w:t>
      </w:r>
      <w:r>
        <w:rPr>
          <w:rFonts w:ascii="Georgia" w:cs="Georgia" w:eastAsia="Georgia" w:hAnsi="Georgia"/>
          <w:color w:val="1A1A1A"/>
          <w:sz w:val="22"/>
          <w:szCs w:val="22"/>
        </w:rPr>
        <w:t xml:space="preserve">Citizen-originated policy proposals at this analytical depth, produced through extended human-AI collaboration, are not common in 2026. The pattern of one ordinary citizen working with an AI assistant to produce a comprehensive policy platform with mathematical models, white papers, and integrated architecture is genuinely new. Pretending the work happened through more conventional means would obscure something interesting about how complex intellectual work is increasingly produced.</w:t>
      </w:r>
    </w:p>
    <w:p>
      <w:pPr>
        <w:spacing w:after="200" w:line="320"/>
        <w:jc w:val="both"/>
      </w:pPr>
      <w:r>
        <w:rPr>
          <w:rFonts w:ascii="Georgia" w:cs="Georgia" w:eastAsia="Georgia" w:hAnsi="Georgia"/>
          <w:b/>
          <w:bCs/>
          <w:sz w:val="22"/>
          <w:szCs w:val="22"/>
        </w:rPr>
        <w:t xml:space="preserve">Fourth, it invites scrutiny rather than deflecting it. </w:t>
      </w:r>
      <w:r>
        <w:rPr>
          <w:rFonts w:ascii="Georgia" w:cs="Georgia" w:eastAsia="Georgia" w:hAnsi="Georgia"/>
          <w:color w:val="1A1A1A"/>
          <w:sz w:val="22"/>
          <w:szCs w:val="22"/>
        </w:rPr>
        <w:t xml:space="preserve">A reader who knows the platform was developed through human-AI collaboration may want to verify specific claims, examine the underlying models, or consult independent expertise on contested points. This is appropriate. The platform’s analytical foundation is strong enough to withstand scrutiny, and disclosure invites the scrutiny that strengthens the platform rather than concealing it.</w:t>
      </w:r>
    </w:p>
    <w:p>
      <w:pPr>
        <w:spacing w:after="200" w:line="320"/>
        <w:jc w:val="both"/>
      </w:pPr>
      <w:r>
        <w:rPr>
          <w:rFonts w:ascii="Georgia" w:cs="Georgia" w:eastAsia="Georgia" w:hAnsi="Georgia"/>
          <w:b/>
          <w:bCs/>
          <w:sz w:val="22"/>
          <w:szCs w:val="22"/>
        </w:rPr>
        <w:t xml:space="preserve">Fifth, it sets expectations honestly about what comes next. </w:t>
      </w:r>
      <w:r>
        <w:rPr>
          <w:rFonts w:ascii="Georgia" w:cs="Georgia" w:eastAsia="Georgia" w:hAnsi="Georgia"/>
          <w:color w:val="1A1A1A"/>
          <w:sz w:val="22"/>
          <w:szCs w:val="22"/>
        </w:rPr>
        <w:t xml:space="preserve">The platform is not a finished product. It is a starting point for conversations that need to happen, refined by engagement that has not yet occurred. Future revisions will reflect feedback from policy professionals, academic economists, elected officials, and other citizens. Some current claims will be refined. Some current architectures will be modified. Some current frameworks may be replaced with better ones. The platform’s authority comes from the strength of its analytical foundation and the transparency of its development, not from any claim to finality.</w:t>
      </w:r>
    </w:p>
    <w:p>
      <w:r>
        <w:br w:type="page"/>
      </w:r>
    </w:p>
    <w:p>
      <w:pPr>
        <w:pStyle w:val="Heading1"/>
        <w:spacing w:after="240" w:before="480"/>
      </w:pPr>
      <w:r>
        <w:rPr>
          <w:rFonts w:ascii="Arial" w:cs="Arial" w:eastAsia="Arial" w:hAnsi="Arial"/>
          <w:b/>
          <w:bCs/>
          <w:color w:val="1F4E78"/>
          <w:sz w:val="36"/>
          <w:szCs w:val="36"/>
        </w:rPr>
        <w:t>Platform Positioning: What This Is And Isn't</w:t>
      </w:r>
    </w:p>
    <w:p>
      <w:pPr>
        <w:spacing w:after="240" w:line="340"/>
        <w:jc w:val="both"/>
      </w:pPr>
      <w:r>
        <w:rPr>
          <w:rFonts w:ascii="Georgia" w:cs="Georgia" w:eastAsia="Georgia" w:hAnsi="Georgia"/>
          <w:color w:val="1A1A1A"/>
          <w:sz w:val="24"/>
          <w:szCs w:val="24"/>
        </w:rPr>
        <w:t>This section addresses a class of questions that careful readers naturally ask of comprehensive policy documents: what kind of thing is this, what claims is it making, what claims is it not making, and how should a thoughtful reader evaluate it. The answers are intended to support honest evaluation rather than persuasion through framing.</w:t>
      </w:r>
    </w:p>
    <w:p>
      <w:pPr>
        <w:pStyle w:val="Heading3"/>
        <w:spacing w:after="120" w:before="240"/>
      </w:pPr>
      <w:r>
        <w:rPr>
          <w:rFonts w:ascii="Arial" w:cs="Arial" w:eastAsia="Arial" w:hAnsi="Arial"/>
          <w:b/>
          <w:bCs/>
          <w:color w:val="C00000"/>
          <w:sz w:val="22"/>
          <w:szCs w:val="22"/>
        </w:rPr>
        <w:t>Structurally Non-Partisan, Not Politically Neutral</w:t>
      </w:r>
    </w:p>
    <w:p>
      <w:pPr>
        <w:spacing w:after="240" w:line="340"/>
        <w:jc w:val="both"/>
      </w:pPr>
      <w:r>
        <w:rPr>
          <w:rFonts w:ascii="Georgia" w:cs="Georgia" w:eastAsia="Georgia" w:hAnsi="Georgia"/>
          <w:color w:val="1A1A1A"/>
          <w:sz w:val="24"/>
          <w:szCs w:val="24"/>
        </w:rPr>
        <w:t>The platform is structurally non-partisan in the sense that its design does not align with any specific party brand. The Manifesto's 'How the Platform Engages Political Reality' section articulates the cross-cutting design in detail: features that conservative traditions have valued (existing pensioner protection, vested rights preservation, skepticism of unproven federal expansions, gradualism over abrupt change), features that progressive traditions have valued (universal access, redistributive Sovereign Fund mechanism, wage floors above market), and features that moderate and cross-partisan traditions have valued (multi-decade deployment, federal-state cooperation, institutional continuity).</w:t>
      </w:r>
    </w:p>
    <w:p>
      <w:pPr>
        <w:spacing w:after="240" w:line="340"/>
        <w:jc w:val="both"/>
      </w:pPr>
      <w:r>
        <w:rPr>
          <w:rFonts w:ascii="Georgia" w:cs="Georgia" w:eastAsia="Georgia" w:hAnsi="Georgia"/>
          <w:color w:val="1A1A1A"/>
          <w:sz w:val="24"/>
          <w:szCs w:val="24"/>
        </w:rPr>
        <w:t>Structurally non-partisan is not the same as politically neutral. Major policy commitments necessarily live somewhere on the political spectrum. Universal healthcare with payroll funding has historical association with the center-left; federal infrastructure ownership has progressive and social-democratic association; redistributive Sovereign Fund mechanisms have progressive valence; wage floors above market levels are progressive regardless of mechanism. The platform's claim is not that these features are apolitical but that the structural design genuinely combines elements different traditions have valued and deserves evaluation on substantive merits rather than partisan coding.</w:t>
      </w:r>
    </w:p>
    <w:p>
      <w:pPr>
        <w:spacing w:after="240" w:line="340"/>
        <w:jc w:val="both"/>
      </w:pPr>
      <w:r>
        <w:rPr>
          <w:rFonts w:ascii="Georgia" w:cs="Georgia" w:eastAsia="Georgia" w:hAnsi="Georgia"/>
          <w:color w:val="1A1A1A"/>
          <w:sz w:val="24"/>
          <w:szCs w:val="24"/>
        </w:rPr>
        <w:t>A reader who treats the platform as 'politically neutral' will be surprised by the policy content. A reader who treats it as 'structurally non-partisan but substantively political' will not be. The latter framing is the honest one and is the framing this document recommends to anyone presenting the platform to others.</w:t>
      </w:r>
    </w:p>
    <w:p>
      <w:pPr>
        <w:pStyle w:val="Heading3"/>
        <w:spacing w:after="120" w:before="240"/>
      </w:pPr>
      <w:r>
        <w:rPr>
          <w:rFonts w:ascii="Arial" w:cs="Arial" w:eastAsia="Arial" w:hAnsi="Arial"/>
          <w:b/>
          <w:bCs/>
          <w:color w:val="C00000"/>
          <w:sz w:val="22"/>
          <w:szCs w:val="22"/>
        </w:rPr>
        <w:t>Comprehensive, Internally Substantiated, Not Yet Externally Validated</w:t>
      </w:r>
    </w:p>
    <w:p>
      <w:pPr>
        <w:spacing w:after="240" w:line="340"/>
        <w:jc w:val="both"/>
      </w:pPr>
      <w:r>
        <w:rPr>
          <w:rFonts w:ascii="Georgia" w:cs="Georgia" w:eastAsia="Georgia" w:hAnsi="Georgia"/>
          <w:color w:val="1A1A1A"/>
          <w:sz w:val="24"/>
          <w:szCs w:val="24"/>
        </w:rPr>
        <w:t>The platform is comprehensive in scope: twelve pillars, 81 numbered items, analytical substantiation documents for each major architectural commitment, a Federal Fiscal Impact Analysis, a per-citizen calculator, a comprehensive Open Issues Registry tracking all known limitations and open questions, a documented hardening cycle process with a canonical audit script. The internal coherence has been hardened across many iterations, with cross-references validated, manifest integrity verified, canonical decisions propagated across documents, and known limitations explicitly tracked.</w:t>
      </w:r>
    </w:p>
    <w:p>
      <w:pPr>
        <w:spacing w:after="240" w:line="340"/>
        <w:jc w:val="both"/>
      </w:pPr>
      <w:r>
        <w:rPr>
          <w:rFonts w:ascii="Georgia" w:cs="Georgia" w:eastAsia="Georgia" w:hAnsi="Georgia"/>
          <w:color w:val="1A1A1A"/>
          <w:sz w:val="24"/>
          <w:szCs w:val="24"/>
        </w:rPr>
        <w:t>The platform is internally substantiated: each major claim has analytical backing in the corresponding substantiation document, with sources cited and methodologies described. The Open Issues Registry's comprehensive issue summary table shows that 19 of 31 tracked issues have all known loose ends addressed within the platform's scope.</w:t>
      </w:r>
    </w:p>
    <w:p>
      <w:pPr>
        <w:spacing w:after="240" w:line="340"/>
        <w:jc w:val="both"/>
      </w:pPr>
      <w:r>
        <w:rPr>
          <w:rFonts w:ascii="Georgia" w:cs="Georgia" w:eastAsia="Georgia" w:hAnsi="Georgia"/>
          <w:color w:val="1A1A1A"/>
          <w:sz w:val="24"/>
          <w:szCs w:val="24"/>
        </w:rPr>
        <w:t>The platform is not yet externally validated, and this distinction matters. Per the Open Issues Registry, the 13 issues marked Mitigated = N include (a) OPEN-3 microsimulation modeling at the JCT (Joint Committee on Taxation) or TPC (Tax Policy Center) or Penn Wharton level for definitive numbers; (b) PROCESS-1 acknowledging the lead author is not a credentialed economist or policy professional; (c) PROCESS-2 acknowledging the External Reviews folder contains only AI reviews; (d) PROCESS-3 acknowledging the mathematical models have not been independently audited; (e) seven RESEARCH items requiring domain expertise the platform does not have access to; and (f) the Federal Infrastructure Fee document's three open questions requiring regulatory rulemaking, behavioral modeling, and tribal nation consultation framework. These are not deficiencies the platform tries to hide; they are documented in the same registry that tracks resolved issues.</w:t>
      </w:r>
    </w:p>
    <w:p>
      <w:pPr>
        <w:spacing w:after="240" w:line="340"/>
        <w:jc w:val="both"/>
      </w:pPr>
      <w:r>
        <w:rPr>
          <w:rFonts w:ascii="Georgia" w:cs="Georgia" w:eastAsia="Georgia" w:hAnsi="Georgia"/>
          <w:color w:val="1A1A1A"/>
          <w:sz w:val="24"/>
          <w:szCs w:val="24"/>
        </w:rPr>
        <w:t>What rigorous testing would actually require. For OPEN-3, access to microsimulation tools at JCT, TPC, or Penn Wharton scale to validate the income tax architecture's revenue effects at projected income distributions. For RESEARCH-1, access to macroeconomic modeling expertise to evaluate the platform's interaction with Federal Reserve operations. For RESEARCH-3, access to labor economics expertise to bound the wage floor's disemployment effects with appropriate uncertainty intervals. For PROCESS-2 and PROCESS-3, engagement of credentialed external reviewers and independent model auditors. None of this work is precluded; all of it is currently outside what the platform's lead author plus an AI assistant can produce.</w:t>
      </w:r>
    </w:p>
    <w:p>
      <w:pPr>
        <w:spacing w:after="240" w:line="340"/>
        <w:jc w:val="both"/>
      </w:pPr>
      <w:r>
        <w:rPr>
          <w:rFonts w:ascii="Georgia" w:cs="Georgia" w:eastAsia="Georgia" w:hAnsi="Georgia"/>
          <w:color w:val="1A1A1A"/>
          <w:sz w:val="24"/>
          <w:szCs w:val="24"/>
        </w:rPr>
        <w:t>How a careful citizen should treat the platform. The platform makes a coherent analytical case at the level of architecture, internal consistency, and order-of-magnitude quantification. It has not yet been validated by the kinds of independent expert review that would let a careful citizen rely on its specific quantitative claims with full confidence. The honest framing is: 'This is a comprehensive proposal with internal analytical substantiation. The next phase of work, which the lead author cannot perform alone, is independent expert review and validation.' A reader who treats the platform as the start of a conversation rather than a finished product will engage with it at the right level.</w:t>
      </w:r>
    </w:p>
    <w:p>
      <w:pPr>
        <w:pStyle w:val="Heading3"/>
        <w:spacing w:after="120" w:before="240"/>
      </w:pPr>
      <w:r>
        <w:rPr>
          <w:rFonts w:ascii="Arial" w:cs="Arial" w:eastAsia="Arial" w:hAnsi="Arial"/>
          <w:b/>
          <w:bCs/>
          <w:color w:val="C00000"/>
          <w:sz w:val="22"/>
          <w:szCs w:val="22"/>
        </w:rPr>
        <w:t>What This Document Is Not</w:t>
      </w:r>
    </w:p>
    <w:p>
      <w:pPr>
        <w:spacing w:after="240" w:line="340"/>
        <w:jc w:val="both"/>
      </w:pPr>
      <w:r>
        <w:rPr>
          <w:rFonts w:ascii="Georgia" w:cs="Georgia" w:eastAsia="Georgia" w:hAnsi="Georgia"/>
          <w:color w:val="1A1A1A"/>
          <w:sz w:val="24"/>
          <w:szCs w:val="24"/>
        </w:rPr>
        <w:t>This document is not a finished policy proposal ready for legislative drafting; it is a coherent platform-level architecture that would require substantial further development to become legislative text. It is not an academic policy paper subject to peer review; it is a citizen-led analytical effort with an AI assistant. It is not a marketing campaign intended to obscure tradeoffs; honest acknowledgments are present throughout the package, and the Open Issues Registry exists specifically to track what has not been resolved. It is not a partisan document with a hidden agenda; the cross-cutting design and explicit engagement with concerns from multiple political traditions are real, not rhetorical cover.</w:t>
      </w:r>
    </w:p>
    <w:p>
      <w:pPr>
        <w:pStyle w:val="Heading1"/>
        <w:spacing w:after="240" w:before="480"/>
      </w:pPr>
      <w:r>
        <w:rPr>
          <w:rFonts w:ascii="Arial" w:cs="Arial" w:eastAsia="Arial" w:hAnsi="Arial"/>
          <w:b/>
          <w:bCs/>
          <w:color w:val="1F4E78"/>
          <w:sz w:val="36"/>
          <w:szCs w:val="36"/>
        </w:rPr>
        <w:t>External Validation Pathways: What Closing PROCESS Gaps Would Require</w:t>
      </w:r>
    </w:p>
    <w:p>
      <w:pPr>
        <w:spacing w:after="240" w:line="340"/>
        <w:jc w:val="both"/>
      </w:pPr>
      <w:r>
        <w:rPr>
          <w:rFonts w:ascii="Georgia" w:cs="Georgia" w:eastAsia="Georgia" w:hAnsi="Georgia"/>
          <w:color w:val="1A1A1A"/>
          <w:sz w:val="24"/>
          <w:szCs w:val="24"/>
        </w:rPr>
        <w:t>The previous section (Platform Positioning) acknowledges that the platform is internally substantiated but not yet externally validated. This section articulates what specific external engagement would look like to close the three PROCESS items tracked in Open Issues Registry Section 5: PROCESS-1 (lead author not credentialed economist or policy professional), PROCESS-2 (External Reviews folder contains only AI reviews), and PROCESS-3 (mathematical models not independently audited). These are not analytical claims requiring expert validation; they are validation gaps requiring external engagement. This section provides the platform's framework for what each engagement would require, what standards it would meet, and what specific pathways are available.</w:t>
      </w:r>
    </w:p>
    <w:p>
      <w:pPr>
        <w:pStyle w:val="Heading3"/>
        <w:spacing w:after="120" w:before="240"/>
      </w:pPr>
      <w:r>
        <w:rPr>
          <w:rFonts w:ascii="Arial" w:cs="Arial" w:eastAsia="Arial" w:hAnsi="Arial"/>
          <w:b/>
          <w:bCs/>
          <w:color w:val="C00000"/>
          <w:sz w:val="22"/>
          <w:szCs w:val="22"/>
        </w:rPr>
        <w:t>PROCESS-1: Credentialed Expert Review</w:t>
      </w:r>
    </w:p>
    <w:p>
      <w:pPr>
        <w:spacing w:after="240" w:line="340"/>
        <w:jc w:val="both"/>
      </w:pPr>
      <w:r>
        <w:rPr>
          <w:rFonts w:ascii="Georgia" w:cs="Georgia" w:eastAsia="Georgia" w:hAnsi="Georgia"/>
          <w:color w:val="1A1A1A"/>
          <w:sz w:val="24"/>
          <w:szCs w:val="24"/>
        </w:rPr>
        <w:t>What the gap is. The platform's lead author is a Senior Data Integration Engineer in Ohio, not a credentialed economist, public finance scholar, healthcare policy expert, or actuary. The platform's analytical decisions reflect Jason's professional judgment as an analyst with engineering and integration expertise, supplemented by AI-assisted research, but they have not been validated by individuals with credentials in the relevant policy domains.</w:t>
      </w:r>
    </w:p>
    <w:p>
      <w:pPr>
        <w:spacing w:after="240" w:line="340"/>
        <w:jc w:val="both"/>
      </w:pPr>
      <w:r>
        <w:rPr>
          <w:rFonts w:ascii="Georgia" w:cs="Georgia" w:eastAsia="Georgia" w:hAnsi="Georgia"/>
          <w:color w:val="1A1A1A"/>
          <w:sz w:val="24"/>
          <w:szCs w:val="24"/>
        </w:rPr>
        <w:t>What credentialed expert review would require. Engagement with experts across the platform's twelve pillars and analytical infrastructure: a public finance economist (Sovereign Fund architecture, fiscal sustainability claims, FFIA (Federal Fiscal Impact Analysis) verification); a labor economist (wage floor architecture, disemployment estimates, intersectional analysis); a health economist (universal healthcare Access cost trajectory, transition mechanics, cost decomposition); an early childhood policy expert (universal childcare Access design, Quebec model interaction); a telecommunications policy expert (Federal Infrastructure Fee architecture, transition mechanics, FCC (Federal Communications Commission) rulemaking interaction); a tax policy expert (Income Tax Revenue architecture, OPEN-3 microsimulation work); a constitutional law scholar (Sovereign Fund governance design, federal acquisition mechanisms, civil liberties safeguards). These are specific disciplines with specific credential requirements (PhDs in the relevant fields, professorships at policy schools or research institutions, or equivalent professional standing).</w:t>
      </w:r>
    </w:p>
    <w:p>
      <w:pPr>
        <w:spacing w:after="240" w:line="340"/>
        <w:jc w:val="both"/>
      </w:pPr>
      <w:r>
        <w:rPr>
          <w:rFonts w:ascii="Georgia" w:cs="Georgia" w:eastAsia="Georgia" w:hAnsi="Georgia"/>
          <w:color w:val="1A1A1A"/>
          <w:sz w:val="24"/>
          <w:szCs w:val="24"/>
        </w:rPr>
        <w:t>Specific pathways available. Academic engagement through policy schools with institutional review capacity (Brookings, AEI, Hamilton Project, Roosevelt Institute, Niskanen Center; or directly through universities with strong public policy programs). Professional society engagement (American Economic Association, National Academy of Public Administration, National Tax Association). Congressional testimony or agency engagement that produces credentialed analyst review (Congressional Research Service (CRS), JCT, GAO (Government Accountability Office) staff have credentials but their formal review requires congressional or executive branch initiative). Solicited external review by individual scholars willing to evaluate independently-developed analytical work. The platform's lead author cannot self-credential; closing PROCESS-1 requires external initiative either from credentialed experts evaluating the work or from the platform's lead author building credentialed-expert relationships through platforms like academic conferences, policy events, or formal consulting engagements.</w:t>
      </w:r>
    </w:p>
    <w:p>
      <w:pPr>
        <w:spacing w:after="240" w:line="340"/>
        <w:jc w:val="both"/>
      </w:pPr>
      <w:r>
        <w:rPr>
          <w:rFonts w:ascii="Georgia" w:cs="Georgia" w:eastAsia="Georgia" w:hAnsi="Georgia"/>
          <w:color w:val="1A1A1A"/>
          <w:sz w:val="24"/>
          <w:szCs w:val="24"/>
        </w:rPr>
        <w:t>What closing PROCESS-1 would establish. The standard for closure is documented review by credentialed experts in each of the seven disciplines listed above, with reviews constituting substantive engagement (not endorsement, but engagement at the level of identifying specific strengths, weaknesses, and recommendations). The reviews would be added to the External Reviews folder alongside the existing Gemini Review. PROCESS-1 would move to Mitigated = Y when at least five of the seven disciplines have such reviews documented; full closure across all seven would represent more thorough validation.</w:t>
      </w:r>
    </w:p>
    <w:p>
      <w:pPr>
        <w:pStyle w:val="Heading3"/>
        <w:spacing w:after="120" w:before="240"/>
      </w:pPr>
      <w:r>
        <w:rPr>
          <w:rFonts w:ascii="Arial" w:cs="Arial" w:eastAsia="Arial" w:hAnsi="Arial"/>
          <w:b/>
          <w:bCs/>
          <w:color w:val="C00000"/>
          <w:sz w:val="22"/>
          <w:szCs w:val="22"/>
        </w:rPr>
        <w:t>PROCESS-2: External Review Pathways Beyond AI</w:t>
      </w:r>
    </w:p>
    <w:p>
      <w:pPr>
        <w:spacing w:after="240" w:line="340"/>
        <w:jc w:val="both"/>
      </w:pPr>
      <w:r>
        <w:rPr>
          <w:rFonts w:ascii="Georgia" w:cs="Georgia" w:eastAsia="Georgia" w:hAnsi="Georgia"/>
          <w:color w:val="1A1A1A"/>
          <w:sz w:val="24"/>
          <w:szCs w:val="24"/>
        </w:rPr>
        <w:t>What the gap is. The platform's External Reviews folder contains the Gemini Review (a review by Google's AI model) and the platform's response. There is no documented review by a credentialed human expert. This is a real gap that the platform cannot fully address from inside its current development process — the AI collaboration produced AI review; producing non-AI review requires non-AI engagement.</w:t>
      </w:r>
    </w:p>
    <w:p>
      <w:pPr>
        <w:spacing w:after="240" w:line="340"/>
        <w:jc w:val="both"/>
      </w:pPr>
      <w:r>
        <w:rPr>
          <w:rFonts w:ascii="Georgia" w:cs="Georgia" w:eastAsia="Georgia" w:hAnsi="Georgia"/>
          <w:color w:val="1A1A1A"/>
          <w:sz w:val="24"/>
          <w:szCs w:val="24"/>
        </w:rPr>
        <w:t>What credentialed external review would require. Reviews from individuals or institutions outside the Jason-Claude collaboration, with review standards meeting at least one of: peer-review standards (double-blind review process meeting academic publication norms); professional society review (formal review by AEA, NAPA, NTA, or similar organizations following their established procedures); think tank review (substantive review by credentialed analysts at policy research institutions like Brookings, AEI, Hamilton Project, Roosevelt Institute, RAND, or similar); congressional support agency review (CRS, JCT, GAO, CBO (Congressional Budget Office) formal analysis as part of legislative or oversight process); regulatory agency review (FCC, Treasury, HHS, Department of Labor formal analysis as part of rulemaking process). These pathways differ in formality, time-to-completion, and scope, but each would meaningfully address the AI-only review gap.</w:t>
      </w:r>
    </w:p>
    <w:p>
      <w:pPr>
        <w:spacing w:after="240" w:line="340"/>
        <w:jc w:val="both"/>
      </w:pPr>
      <w:r>
        <w:rPr>
          <w:rFonts w:ascii="Georgia" w:cs="Georgia" w:eastAsia="Georgia" w:hAnsi="Georgia"/>
          <w:color w:val="1A1A1A"/>
          <w:sz w:val="24"/>
          <w:szCs w:val="24"/>
        </w:rPr>
        <w:t>Specific pathways available. Academic submission of platform components as policy white papers to journals like the Journal of Economic Perspectives, the National Tax Journal, Health Affairs, the American Economic Review's Papers and Proceedings, or domain-specific policy journals. Think tank submission for review through formal engagement processes (Brookings working papers, AEI working papers, Hamilton Project policy papers all have submission and review procedures). Conference presentation at academic and policy events (National Tax Association annual meeting, AEA annual meeting, AcademyHealth annual meeting) which provides peer review through discussant comments and audience feedback. Direct outreach to identified credentialed experts willing to provide written reviews. The platform does not have the institutional standing to compel review through any of these pathways; closing PROCESS-2 requires the platform's lead author to actively pursue review opportunities through whichever pathways are accessible.</w:t>
      </w:r>
    </w:p>
    <w:p>
      <w:pPr>
        <w:spacing w:after="240" w:line="340"/>
        <w:jc w:val="both"/>
      </w:pPr>
      <w:r>
        <w:rPr>
          <w:rFonts w:ascii="Georgia" w:cs="Georgia" w:eastAsia="Georgia" w:hAnsi="Georgia"/>
          <w:color w:val="1A1A1A"/>
          <w:sz w:val="24"/>
          <w:szCs w:val="24"/>
        </w:rPr>
        <w:t>What closing PROCESS-2 would establish. The standard for closure is documented review by at least three independent credentialed external reviewers across the platform's analytical scope, with reviews engaging substantively with platform claims rather than constituting endorsement or dismissal. The reviews would be added to the External Reviews folder. PROCESS-2 moves to Mitigated = Y when at least three such reviews are documented; PROCESS-2 moves to fully resolved when the External Reviews folder contains substantive reviews across all seven disciplines noted above.</w:t>
      </w:r>
    </w:p>
    <w:p>
      <w:pPr>
        <w:pStyle w:val="Heading3"/>
        <w:spacing w:after="120" w:before="240"/>
      </w:pPr>
      <w:r>
        <w:rPr>
          <w:rFonts w:ascii="Arial" w:cs="Arial" w:eastAsia="Arial" w:hAnsi="Arial"/>
          <w:b/>
          <w:bCs/>
          <w:color w:val="C00000"/>
          <w:sz w:val="22"/>
          <w:szCs w:val="22"/>
        </w:rPr>
        <w:t>PROCESS-3: Independent Model Audit</w:t>
      </w:r>
    </w:p>
    <w:p>
      <w:pPr>
        <w:spacing w:after="240" w:line="340"/>
        <w:jc w:val="both"/>
      </w:pPr>
      <w:r>
        <w:rPr>
          <w:rFonts w:ascii="Georgia" w:cs="Georgia" w:eastAsia="Georgia" w:hAnsi="Georgia"/>
          <w:color w:val="1A1A1A"/>
          <w:sz w:val="24"/>
          <w:szCs w:val="24"/>
        </w:rPr>
        <w:t>What the gap is. The platform's spreadsheet models (Combined Reform Model, universal healthcare Model, wage floor Empirical Analysis, Federal Fiscal Impact Analysis, Sovereign Fund projection models, and several others) have been developed within the Jason-and-Claude collaboration. They have not been independently audited by a model-validation specialist. The audit-driven release pattern provides internal consistency checking, but internal checking does not substitute for independent audit by a model-validation professional who is not part of the platform's development collaboration.</w:t>
      </w:r>
    </w:p>
    <w:p>
      <w:pPr>
        <w:spacing w:after="240" w:line="340"/>
        <w:jc w:val="both"/>
      </w:pPr>
      <w:r>
        <w:rPr>
          <w:rFonts w:ascii="Georgia" w:cs="Georgia" w:eastAsia="Georgia" w:hAnsi="Georgia"/>
          <w:color w:val="1A1A1A"/>
          <w:sz w:val="24"/>
          <w:szCs w:val="24"/>
        </w:rPr>
        <w:t>What independent model audit would require. Model audit professionals are credentialed in financial model validation (CFA Institute model review standards, ISDA model validation framework, SR 11-7 federal regulatory model risk management standards adapted for policy models). The audit scope would cover: input verification (do the models use defensible source data?); methodology verification (are the model formulas mathematically and conceptually correct?); stress-test verification (do the models behave plausibly under extreme scenarios?); reproducibility verification (can an independent analyst recreate the platform's headline numbers from the documented inputs and methodology?); sensitivity verification (do the models' results respond plausibly to parameter changes?). These are well-established audit categories with documented standards.</w:t>
      </w:r>
    </w:p>
    <w:p>
      <w:pPr>
        <w:spacing w:after="240" w:line="340"/>
        <w:jc w:val="both"/>
      </w:pPr>
      <w:r>
        <w:rPr>
          <w:rFonts w:ascii="Georgia" w:cs="Georgia" w:eastAsia="Georgia" w:hAnsi="Georgia"/>
          <w:color w:val="1A1A1A"/>
          <w:sz w:val="24"/>
          <w:szCs w:val="24"/>
        </w:rPr>
        <w:t>Specific pathways available. Engagement with model-validation consulting firms (Promontory Financial Group, Oliver Wyman, Deloitte Risk Advisory, KPMG model risk practice; or for policy-focused audit, RAND model validation, CBO model documentation review, Federal Reserve model risk management practices). Engagement with academic econometricians or operations research scholars willing to conduct model audits (some willing to do this on a pro bono or professional development basis for novel policy proposals). Submission of models to public-interest model audit programs if such programs exist. The platform's models are accessible (the spreadsheets are documented and tracked); access is not a barrier. Closing PROCESS-3 requires identifying willing audit professionals and engaging their services, which has financial and professional-relationship requirements the platform's lead author has not yet met.</w:t>
      </w:r>
    </w:p>
    <w:p>
      <w:pPr>
        <w:spacing w:after="240" w:line="340"/>
        <w:jc w:val="both"/>
      </w:pPr>
      <w:r>
        <w:rPr>
          <w:rFonts w:ascii="Georgia" w:cs="Georgia" w:eastAsia="Georgia" w:hAnsi="Georgia"/>
          <w:color w:val="1A1A1A"/>
          <w:sz w:val="24"/>
          <w:szCs w:val="24"/>
        </w:rPr>
        <w:t>What closing PROCESS-3 would establish. The standard for closure is documented audit by an independent model-validation professional covering at minimum the Combined Reform Model and Federal Fiscal Impact Analysis (the platform's two most consequential models). Audit findings would be added to the External Reviews folder along with the platform's response to each finding. PROCESS-3 moves to Mitigated = Y when at least these two core models have documented independent audit; PROCESS-3 moves to fully resolved when all major platform models (the eleven-or-so spreadsheet models in the package) have documented independent audit.</w:t>
      </w:r>
    </w:p>
    <w:p>
      <w:pPr>
        <w:pStyle w:val="Heading3"/>
        <w:spacing w:after="120" w:before="240"/>
      </w:pPr>
      <w:r>
        <w:rPr>
          <w:rFonts w:ascii="Arial" w:cs="Arial" w:eastAsia="Arial" w:hAnsi="Arial"/>
          <w:b/>
          <w:bCs/>
          <w:color w:val="C00000"/>
          <w:sz w:val="22"/>
          <w:szCs w:val="22"/>
        </w:rPr>
        <w:t>Honest Acknowledgments</w:t>
      </w:r>
    </w:p>
    <w:p>
      <w:pPr>
        <w:spacing w:after="240" w:line="340"/>
        <w:jc w:val="both"/>
      </w:pPr>
      <w:r>
        <w:rPr>
          <w:rFonts w:ascii="Georgia" w:cs="Georgia" w:eastAsia="Georgia" w:hAnsi="Georgia"/>
          <w:color w:val="1A1A1A"/>
          <w:sz w:val="24"/>
          <w:szCs w:val="24"/>
        </w:rPr>
        <w:t>Closing the three PROCESS gaps requires resources the platform's lead author does not currently have: time for engagement with credentialed experts, financial resources for model audit consulting, and institutional standing to compel formal review through established pathways. The platform's response framework articulates what closure would require but does not promise that closure will occur on any specific timeline. The platform's appropriate posture is to remain open to external engagement initiated by credentialed experts, to actively pursue review opportunities through accessible pathways (conference presentations, working paper submissions, direct outreach), and to document each engagement substantively when it occurs.</w:t>
      </w:r>
    </w:p>
    <w:p>
      <w:pPr>
        <w:spacing w:after="240" w:line="340"/>
        <w:jc w:val="both"/>
      </w:pPr>
      <w:r>
        <w:rPr>
          <w:rFonts w:ascii="Georgia" w:cs="Georgia" w:eastAsia="Georgia" w:hAnsi="Georgia"/>
          <w:color w:val="1A1A1A"/>
          <w:sz w:val="24"/>
          <w:szCs w:val="24"/>
        </w:rPr>
        <w:t>Reasonable readers may evaluate the platform's substantive analytical case while these PROCESS gaps remain. The platform's internal substantiation, audit-driven release discipline, and Open Issues Registry transparency provide the analytical scaffolding that PROCESS closure would build upon. Closing PROCESS items would not change the platform's substantive claims; it would change the confidence with which those claims can be relied upon. The current platform is offered as a developed analytical proposal awaiting external validation, not as a finished policy product. This honest framing is the same framing the Platform Positioning section establishes; this External Validation Pathways section makes the framing actionable by specifying what validation would look like.</w:t>
      </w:r>
    </w:p>
    <w:p>
      <w:pPr>
        <w:pStyle w:val="Heading1"/>
        <w:spacing w:after="240" w:before="480"/>
      </w:pPr>
      <w:r>
        <w:rPr>
          <w:rFonts w:ascii="Arial" w:cs="Arial" w:eastAsia="Arial" w:hAnsi="Arial"/>
          <w:b/>
          <w:bCs/>
          <w:color w:val="1F4E78"/>
          <w:sz w:val="36"/>
          <w:szCs w:val="36"/>
        </w:rPr>
        <w:t>What Has Been Added Since v2.9</w:t>
      </w:r>
    </w:p>
    <w:p>
      <w:pPr>
        <w:spacing w:after="240" w:line="340"/>
        <w:jc w:val="both"/>
      </w:pPr>
      <w:r>
        <w:rPr>
          <w:rFonts w:ascii="Georgia" w:cs="Georgia" w:eastAsia="Georgia" w:hAnsi="Georgia"/>
          <w:color w:val="1A1A1A"/>
          <w:sz w:val="24"/>
          <w:szCs w:val="24"/>
        </w:rPr>
        <w:t>This Provenance document was last comprehensively refreshed for v2.9. The platform has since gone through fourteen minor releases (v2.10 through v2.22) and three patch releases (v2.18.1, v2.19.1) which together added a substantial body of analytical work and expanded the package from approximately thirty-seven documents to fifty-two. The underlying collaboration pattern between Jason and Claude continues unchanged from what the rest of this document describes; what changed is the volume and analytical scope of the package, which deserves explicit documentation here for accountability.</w:t>
      </w:r>
    </w:p>
    <w:p>
      <w:pPr>
        <w:spacing w:after="240" w:line="340"/>
        <w:jc w:val="both"/>
      </w:pPr>
      <w:r>
        <w:rPr>
          <w:rFonts w:ascii="Georgia" w:cs="Georgia" w:eastAsia="Georgia" w:hAnsi="Georgia"/>
          <w:color w:val="1A1A1A"/>
          <w:sz w:val="24"/>
          <w:szCs w:val="24"/>
        </w:rPr>
        <w:t>v2.10 added the Federal Program Integration Plan and Federal Fiscal Impact Analysis, which together provide the consolidated federal-level fiscal picture the original technical white papers and per-pillar models did not present in one place. v2.10 also introduced the platform's first interactive tool, the We The People Calculator, which lets readers verify household-level claims for their own situation. v2.11 and v2.12 refined the Calculator and added the slideshow source files.</w:t>
      </w:r>
    </w:p>
    <w:p>
      <w:pPr>
        <w:spacing w:after="240" w:line="340"/>
        <w:jc w:val="both"/>
      </w:pPr>
      <w:r>
        <w:rPr>
          <w:rFonts w:ascii="Georgia" w:cs="Georgia" w:eastAsia="Georgia" w:hAnsi="Georgia"/>
          <w:color w:val="1A1A1A"/>
          <w:sz w:val="24"/>
          <w:szCs w:val="24"/>
        </w:rPr>
        <w:t>v2.13 through v2.18 added twelve phased-expansion analytical framing documents (items 63 through 74) addressing specific situations the original architecture treated implicitly: behavioral economics and uptake friction, state-level cooperation requirements, non-citizens and platform eligibility, cohabiting unmarried couples, public-sector worker transitions, existing pensioners, Section 8 housing, TANF (Temporary Assistance for Needy Families) and cash assistance, multigenerational households, aging-in-place implications, US territories, and climate policy beyond grid modernization. Each document follows a consistent structure: a framing question, what the platform addresses, what the platform omits, design directions for future versions, failure modes, and open questions.</w:t>
      </w:r>
    </w:p>
    <w:p>
      <w:pPr>
        <w:spacing w:after="240" w:line="340"/>
        <w:jc w:val="both"/>
      </w:pPr>
      <w:r>
        <w:rPr>
          <w:rFonts w:ascii="Georgia" w:cs="Georgia" w:eastAsia="Georgia" w:hAnsi="Georgia"/>
          <w:color w:val="1A1A1A"/>
          <w:sz w:val="24"/>
          <w:szCs w:val="24"/>
        </w:rPr>
        <w:t>v2.18.1 was a documentation patch addressing styling regressions found by the v2.18 audit. v2.19 adopted seven of eight v2.18 audit findings as analytical fixes (calculator scope warning, full Manifesto integration of phased-expansion documents, FFIA sensitivity sections, Constituent Letter rewrite, cross-references, supporter-path expansion, $125,000 MFJ worked example). v2.19.1 was a documentation patch. v2.20 adopted seven v2.19 audit findings.</w:t>
      </w:r>
    </w:p>
    <w:p>
      <w:pPr>
        <w:spacing w:after="240" w:line="340"/>
        <w:jc w:val="both"/>
      </w:pPr>
      <w:r>
        <w:rPr>
          <w:rFonts w:ascii="Georgia" w:cs="Georgia" w:eastAsia="Georgia" w:hAnsi="Georgia"/>
          <w:color w:val="1A1A1A"/>
          <w:sz w:val="24"/>
          <w:szCs w:val="24"/>
        </w:rPr>
        <w:t>v2.21 explicitly enumerated dental and basic vision coverage in the universal healthcare commitment per the German GKV standard. The previous documents stated the commitment modeled on Germany and Japan but did not enumerate covered services beyond medical, prescription, and mental health. v2.21 resolved that ambiguity. v2.22 added the Gender Pay Gap and Indirect Mechanisms document, examining how the platform's architecture indirectly reduces the raw gender pay gap by an estimated 30 to 40 percent through three mechanisms (universal childcare addressing the motherhood penalty, empirical wage floors raising pay in female-dominated occupations, universal healthcare reducing job-lock).</w:t>
      </w:r>
    </w:p>
    <w:p>
      <w:pPr>
        <w:spacing w:after="240" w:line="340"/>
        <w:jc w:val="both"/>
      </w:pPr>
      <w:r>
        <w:rPr>
          <w:rFonts w:ascii="Georgia" w:cs="Georgia" w:eastAsia="Georgia" w:hAnsi="Georgia"/>
          <w:color w:val="1A1A1A"/>
          <w:sz w:val="24"/>
          <w:szCs w:val="24"/>
        </w:rPr>
        <w:t>Throughout this period the analytical work followed the same collaborative pattern described elsewhere in this document. Jason directed scope, made design decisions, rejected unsuitable proposals, and verified mathematical reasoning. Claude executed the drafting, the spreadsheet model construction, the cross-reference work, and the consistency checking across the growing package. The audit-driven release pattern (each minor release audited before the next is started) was added in v2.10 and has continued through v2.22.</w:t>
      </w:r>
    </w:p>
    <w:p>
      <w:pPr>
        <w:spacing w:after="240" w:line="340"/>
        <w:jc w:val="both"/>
      </w:pPr>
      <w:r>
        <w:rPr>
          <w:rFonts w:ascii="Georgia" w:cs="Georgia" w:eastAsia="Georgia" w:hAnsi="Georgia"/>
          <w:color w:val="1A1A1A"/>
          <w:sz w:val="24"/>
          <w:szCs w:val="24"/>
        </w:rPr>
        <w:t>Honest acknowledgment about Provenance currency. This Provenance document was kept current through v2.9 but was not refreshed for v2.10 through v2.22 until the v2.22 audit identified its drift as a significant finding. Refreshing it sooner would have served the skeptic-path audience better, and future releases should treat Provenance currency as a regular checkpoint rather than letting it drift across many releases. The document and model counts in the opening paragraph were corrected in this v2.23 refresh; previously they read 'thirty-seven Word documents' which had been accurate at v2.9 but was 15 documents short by v2.22.</w:t>
      </w:r>
    </w:p>
    <w:p>
      <w:pPr>
        <w:spacing w:after="240" w:line="340"/>
        <w:jc w:val="both"/>
      </w:pPr>
      <w:r>
        <w:rPr>
          <w:rFonts w:ascii="Georgia" w:cs="Georgia" w:eastAsia="Georgia" w:hAnsi="Georgia"/>
          <w:color w:val="1A1A1A"/>
          <w:sz w:val="24"/>
          <w:szCs w:val="24"/>
        </w:rPr>
        <w:t>v2.24 added the Open Issues Registry, a single consolidated catalog of all issues that have been identified but not fully resolved across the platform. The Registry categorizes issues into open analytical questions (such as the healthcare contribution rate variance and the wealth surcharge architecture variance), deferred research items requiring external expert input (Federal Reserve interaction, housing market interaction, wage floor disemployment, healthcare cost decomposition, Sovereign Fund 4 percent return scenario, intersectional pay gap analysis, climate strategic environmental review), scope-limited topics (long-term care, hearing aids, climate strategic, housing supply, immigration), and process limitations (Jason's lack of formal credentials in economics or policy, the AI-only review process, and the absence of external audit of the analytical models). The Registry was created as part of v2.24's commitment to exhaustive transparency rather than burying issues.</w:t>
      </w:r>
    </w:p>
    <w:p>
      <w:pPr>
        <w:spacing w:after="240" w:line="340"/>
        <w:jc w:val="both"/>
      </w:pPr>
      <w:r>
        <w:rPr>
          <w:rFonts w:ascii="Georgia" w:cs="Georgia" w:eastAsia="Georgia" w:hAnsi="Georgia"/>
          <w:color w:val="1A1A1A"/>
          <w:sz w:val="24"/>
          <w:szCs w:val="24"/>
        </w:rPr>
        <w:t>v2.25 added Emergency Services Communications Modernization, addressing the convergence of FirstNet's February 2027 sunset date, the Lutnick precedent on AT&amp;T contract renegotiation from March 2026, the NTIA's NG911 transition cost study from April 2026, and the longstanding tribal nation broadband and cellular coverage gaps. The document commits the platform to four specific actions: renegotiate the AT&amp;T FirstNet contract per the Lutnick precedent, deploy federal cellular sites in coverage gaps co-located with federal fiber buildout, fully fund the NG911 transition through Sovereign Fund disbursements at approximately one to one and a half billion dollars per year over seven years, and establish free-service-with-sovereign-choice for tribal nation governments. Item 77 marked the platform's first substantive engagement with the cellular and emergency services infrastructure layers.</w:t>
      </w:r>
    </w:p>
    <w:p>
      <w:pPr>
        <w:spacing w:after="240" w:line="340"/>
        <w:jc w:val="both"/>
      </w:pPr>
      <w:r>
        <w:rPr>
          <w:rFonts w:ascii="Georgia" w:cs="Georgia" w:eastAsia="Georgia" w:hAnsi="Georgia"/>
          <w:color w:val="1A1A1A"/>
          <w:sz w:val="24"/>
          <w:szCs w:val="24"/>
        </w:rPr>
        <w:t>v2.26 added the Federal Infrastructure Fee, establishing the cost recovery mechanism for federally-owned broadband and cellular infrastructure. v2.26 also represented a substantive architectural shift from Path A (federal subsidy of private ISPs at approximately forty-eight billion dollars per year, with fiber privately owned) to Path B (federal ownership of fiber and cellular gap sites, with companies paying an infrastructure fee for using federally-owned infrastructure). Item 78 is approximately sixty-two thousand characters across nineteen sections covering the architectural premise, capital deployment cost analysis, operations and maintenance costs, future capacity reserve, annual revenue requirement of approximately thirty-four billion dollars, four fee allocation structures with worked examples, the recommended hybrid structure, inflation indexing via a BLS-blended formula, industry exemptions for public-purpose entities, replacement of USF (Universal Service Fund) and consolidation of state telecom taxes, pass-through prevention mechanisms, demand adaptation, the turnpike-toll regulatory model, fraud surface area and identity theft reduction, transparency commitments, relationship to other platform commitments, what the document does not address, open questions, and closing. The thirty-year cost projection in item 78 demonstrates Path B is approximately one and one-half to one and seven-tenths trillion dollars less expensive than Path A over the same period.</w:t>
      </w:r>
    </w:p>
    <w:p>
      <w:pPr>
        <w:spacing w:after="240" w:line="340"/>
        <w:jc w:val="both"/>
      </w:pPr>
      <w:r>
        <w:rPr>
          <w:rFonts w:ascii="Georgia" w:cs="Georgia" w:eastAsia="Georgia" w:hAnsi="Georgia"/>
          <w:color w:val="1A1A1A"/>
          <w:sz w:val="24"/>
          <w:szCs w:val="24"/>
        </w:rPr>
        <w:t>v2.26.1 was a coordinated patch release that updated Universal Broadband Access Substantiation and Federal Fiscal Impact Analysis to reflect v2.26's Path A to Path B architectural shift. The patch did not add new platform commitments. It brought existing analytical documents into surface-level coherence with the v2.26 architecture. Item 51 received a prominent v2.26 Architectural Shift Notice as a new H1 section documenting which sections of the original Path A substantiation remain valid (service architecture, deployment strategy, workforce mathematics, cross-pillar effects, stress tests, honest acknowledgments) and which are superseded by Path B (federal contracting architecture, cost trajectory). Item 61's broadband line was updated from Path A subsidy at thirty billion dollars per year to Path B at thirty-four billion dollars per year gross federal cost, offset by thirty-four billion dollars per year in infrastructure fee revenue, for net federal cost of approximately zero. v2.26.1 followed the v2.18.1 and v2.19.1 pattern of patch releases that resolve documentation issues identified after a minor release ships.</w:t>
      </w:r>
    </w:p>
    <w:p>
      <w:pPr>
        <w:spacing w:after="240" w:line="340"/>
        <w:jc w:val="both"/>
      </w:pPr>
      <w:r>
        <w:rPr>
          <w:rFonts w:ascii="Georgia" w:cs="Georgia" w:eastAsia="Georgia" w:hAnsi="Georgia"/>
          <w:color w:val="1A1A1A"/>
          <w:sz w:val="24"/>
          <w:szCs w:val="24"/>
        </w:rPr>
        <w:t>Across v2.24 through v2.26.1, the package grew from seventy-five items to seventy-eight items, the Manifesto framing extended from fifteen Specific Situations to sixteen Specific Situations, the slideshow remained outdated (a known and documented finding), the Constituent Letter received a count update plus committee mapping additions, and the Open Issues Registry expanded across three sections covering v2.24, v2.25, v2.26, and v2.26.1 progress. The collaboration pattern between Jason and Claude documented earlier in this Provenance document continued unchanged: Jason directs the substantive policy decisions and architectural choices; Claude does the analytical and document-construction work; outputs go through iterative review against personas and programmatic checks; findings are documented openly in the Open Issues Registry rather than buried.</w:t>
      </w:r>
    </w:p>
    <w:p>
      <w:pPr>
        <w:spacing w:after="240" w:line="340"/>
        <w:jc w:val="both"/>
      </w:pPr>
      <w:r>
        <w:rPr>
          <w:rFonts w:ascii="Georgia" w:cs="Georgia" w:eastAsia="Georgia" w:hAnsi="Georgia"/>
          <w:color w:val="1A1A1A"/>
          <w:sz w:val="24"/>
          <w:szCs w:val="24"/>
        </w:rPr>
        <w:t>What is documented here is the build history through v2.26.1. The audit-driven hardening process initiated by Jason on May 6, 2026 (the four-step iterative hardening workflow) is what is producing v2.26.2 and the work that follows. The audit found documentation propagation lag in several places (this Provenance was identified as severely out of date through v2.26.1, hence the v2.26.2 update of which this section is part) and documented the findings transparently in /mnt/user-data/outputs/v2261_audit/. The pattern of audit-driven hardening matches the v2.18 and v2.19 audit cycles and reflects Jason's preference for exhaustive transparency over polished but incomplete presentation.</w:t>
      </w:r>
    </w:p>
    <w:p>
      <w:pPr>
        <w:pStyle w:val="Heading1"/>
      </w:pPr>
      <w:r>
        <w:t>What Has Been Added Since v2.26.1</w:t>
      </w:r>
    </w:p>
    <w:p>
      <w:pPr/>
      <w:r>
        <w:t>The previous section documented the build history through v2.26.1. This section continues the narrative through v3.7.88 (the version current as of this refresh on May 14, 2026), covering the v2.27 through v3.7.88 work in summary form. Detailed iteration-by-iteration narratives are preserved in the Platform Package Version document and the Open Issues Registry.</w:t>
      </w:r>
    </w:p>
    <w:p>
      <w:pPr/>
      <w:r>
        <w:t>Pillars nine through twelve added</w:t>
      </w:r>
    </w:p>
    <w:p>
      <w:pPr/>
      <w:r>
        <w:t>The platform was extended from eight pillars to twelve in the v2.27 through v3.0 arc. Pillar Nine: Universal Long-Term Care was added with the Pflegeversicherung-derived contribution architecture and substantiation document. Pillar Ten: Federal Housing Investment was added covering universal rental assistance, federal-state conditional grants for supply, public housing investment, supportive housing for special populations, and Housing First homelessness response. Pillar Eleven: Climate Architecture was added with carbon-price specification, fifty-fifty dividend-and-investment revenue allocation, and substantiation document. Pillar Twelve: Immigration Architecture was added covering pathway to legal status, legal-immigration modernization, asylum and refugee processing, workforce visa reform, integration support, and border-management modernization. Each new pillar followed the same documentation pattern as pillars one through eight: dedicated substantiation document, integration into the Open Issues Registry, federal data-source citations, comparison with prior reform proposals.</w:t>
      </w:r>
    </w:p>
    <w:p>
      <w:pPr/>
      <w:r>
        <w:t>Audit-driven iteration discipline introduced</w:t>
      </w:r>
    </w:p>
    <w:p>
      <w:pPr/>
      <w:r>
        <w:t>v3.0 introduced the audit-driven iteration discipline that has defined the platforms development since. Each iteration now goes through an automated audit script (audit_script.py at the package root) before shipping, currently running twenty-plus checks across four domains: content consistency, manifest integrity, web and CSS infrastructure, and cross-cutting concerns. As of v3.7.88 the platform has produced 152 consecutive clean current-iteration narratives. The discipline ensures every shipped package is internally consistent before release rather than relying on after-the-fact audit.</w:t>
      </w:r>
    </w:p>
    <w:p>
      <w:pPr/>
      <w:r>
        <w:t>Open Issues Registry expanded and formalized</w:t>
      </w:r>
    </w:p>
    <w:p>
      <w:pPr/>
      <w:r>
        <w:t>The Open Issues Registry evolved from a single consolidated document into a structured tracking system with 81 numbered items in Section 47 categorized by status (53 closed, 28 open), required expertise (legal, actuarial, economic), and proposed resolution path. The registry now spans 195 sections documenting iteration narratives. Companion files added: the Open Decisions Registry tracking pre-launch operational decisions (hosting, governance, funding) and the OIR Iteration Archive preserving older iteration sections to keep the main registry navigable.</w:t>
      </w:r>
    </w:p>
    <w:p>
      <w:pPr/>
      <w:r>
        <w:t>Site infrastructure built</w:t>
      </w:r>
    </w:p>
    <w:p>
      <w:pPr/>
      <w:r>
        <w:t>The HTML site infrastructure was built from scratch during the v3.x arc: Home page, About page, Documents catalog page (with filter-by-type, filter-by-pillar, filter-by-folder, and filter-by-reading-path), Downloads page, Contact page, Privacy page, and SLA page. Two interactive calculators were built: the We The People Calculator showing personalized comparison between current federal tax architecture and the platforms proposed architecture, and the Wage Floor Comparison Calculator. All HTML pages share canonical design tokens; the canonical token set was harmonized in v3.7.74 and is now enforced by audit checks.</w:t>
      </w:r>
    </w:p>
    <w:p>
      <w:pPr/>
      <w:r>
        <w:t>Substantiation documents and reading paths</w:t>
      </w:r>
    </w:p>
    <w:p>
      <w:pPr/>
      <w:r>
        <w:t>Nine substantiation documents were added (one per pillar where the pillars architecture required deeper documentation than the white paper provided), now consolidated in the 08_Pillar_Substantiation folder. Four reading paths were defined for different audiences (skeptical reader, policy professional, household curious about personal impact, technical reader), each curated with order and context metadata stored on the documents themselves. The reading-path system was refactored in v3.7.79 to store per-document audience metadata rather than separate top-level reading-path arrays.</w:t>
      </w:r>
    </w:p>
    <w:p>
      <w:pPr/>
      <w:r>
        <w:t>Folder restructure for navigability</w:t>
      </w:r>
    </w:p>
    <w:p>
      <w:pPr/>
      <w:r>
        <w:t>v3.7.85 restructured the platforms folder layout to address bloat in 05_Analytical_Framing (which had grown to 71 documents, approximately 60 percent of the platforms 118 documents). The restructure split substantiation documents into 08_Pillar_Substantiation and process and tracking documents into 09_Meta_Tracking, leaving 54 true analytical-framing documents in 05_Analytical_Framing. v3.7.86 followed up by realigning filename prefixes with the new parent folder names. The platform now has nine numbered folders.</w:t>
      </w:r>
    </w:p>
    <w:p>
      <w:pPr/>
      <w:r>
        <w:t>Critical-review cycle</w:t>
      </w:r>
    </w:p>
    <w:p>
      <w:pPr/>
      <w:r>
        <w:t>v3.7.78 produced a critical review of the platform package identifying redundancies, refactor opportunities, and design-discipline gaps. The v3.7.79 through v3.7.88 iteration arc has addressed eight of thirteen review items: version-metadata centralization, reading-paths-from-document-metadata refactor, PROJECT_SKILL.md infrastructure documentation, calculator design-system harmonization, OIR drift restoration, substantiation template and generator, unused CSS tokens cleanup, and the 60-percent-in-one-folder restructure. Four list items remain: audit checks batching refactor, content-versus-infrastructure iteration discipline, what-does-vX.Y.Z-NOT-change boilerplate trim, and defined-but-unused CSS token audit check. Additional out-of-list iterations have addressed a section-eyebrow spacing bug, filename prefix realignment follow-up, content consistency sweep with catalog metadata hardening, and the About page origin-and-methodology section that this provenance document is being synchronized with.</w:t>
      </w:r>
    </w:p>
    <w:p>
      <w:pPr/>
      <w:r>
        <w:t>AI assistance acknowledgment refreshed</w:t>
      </w:r>
    </w:p>
    <w:p>
      <w:pPr/>
      <w:r>
        <w:t>The collaboration model described in earlier sections (Jasons Contributions, Claudes Contributions, Honest Observations About the Collaboration) continues to characterize the work. The About pages new How this was built section summarizes this provenance document in three paragraphs as an elevator-pitch version. The phrase used on the About page is drafting, audit-script development, and analytical scaffolding were assisted by AI tooling under sustained authorial direction; the architectural decisions and policy positions are Jason Robertsons. This document provides the longer-form explanation of what each side contributed and why the collaboration is named openly. Specifications of the AI used (Claude Opus 4.7, knowledge cutoff end of January 2026, Claude.ai web and mobile interface) are documented in the dedicated section earlier in this document.</w:t>
      </w:r>
    </w:p>
    <w:p>
      <w:pPr>
        <w:pStyle w:val="Heading1"/>
      </w:pPr>
      <w:r>
        <w:t>About Page Elevator-Pitch Summary</w:t>
      </w:r>
    </w:p>
    <w:p>
      <w:pPr/>
      <w:r>
        <w:t>The About page contains a three-paragraph elevator-pitch summary of this provenance document under the heading How this was built. The elevator pitch covers the same three themes as this document in compressed form: engineering discipline applied to policy design (sources cited, OIR tracking, audit before every ship); foreign-implementation grounding (NHS, Pflegeversicherung, KiTa, Government Pension Fund Global); and origin honesty (May 2026 start, AI-assisted drafting under authorial direction, pre-launch state with operational decisions tracked in the Open Decisions Registry). A reader who wants the high-level explanation should read the About page; a reader who wants the detailed provenance should read this document. The two are intentionally kept consistent in claims and framing.</w:t>
      </w:r>
    </w:p>
    <w:p>
      <w:pPr>
        <w:pStyle w:val="Heading1"/>
        <w:spacing w:after="240" w:before="480"/>
      </w:pPr>
      <w:r>
        <w:rPr>
          <w:rFonts w:ascii="Arial" w:cs="Arial" w:eastAsia="Arial" w:hAnsi="Arial"/>
          <w:b/>
          <w:bCs/>
          <w:color w:val="1F4E78"/>
          <w:sz w:val="36"/>
          <w:szCs w:val="36"/>
        </w:rPr>
        <w:t xml:space="preserve">The Complete Package</w:t>
      </w:r>
    </w:p>
    <w:p>
      <w:pPr>
        <w:spacing w:after="240" w:line="340"/>
        <w:jc w:val="both"/>
      </w:pPr>
      <w:r>
        <w:rPr>
          <w:rFonts w:ascii="Georgia" w:cs="Georgia" w:eastAsia="Georgia" w:hAnsi="Georgia"/>
          <w:color w:val="1A1A1A"/>
          <w:sz w:val="24"/>
          <w:szCs w:val="24"/>
        </w:rPr>
        <w:t xml:space="preserve">For reference, this is the complete inventory of documents and models that constitute the We The People platform as currently developed.</w:t>
      </w:r>
    </w:p>
    <w:p>
      <w:pPr>
        <w:pStyle w:val="Heading3"/>
        <w:spacing w:after="120" w:before="240"/>
      </w:pPr>
      <w:r>
        <w:rPr>
          <w:rFonts w:ascii="Arial" w:cs="Arial" w:eastAsia="Arial" w:hAnsi="Arial"/>
          <w:b/>
          <w:bCs/>
          <w:color w:val="C00000"/>
          <w:sz w:val="22"/>
          <w:szCs w:val="22"/>
        </w:rPr>
        <w:t xml:space="preserve">Vision and Communication Documents</w:t>
      </w:r>
    </w:p>
    <w:p>
      <w:pPr>
        <w:spacing w:after="200" w:line="320"/>
        <w:jc w:val="both"/>
      </w:pPr>
      <w:r>
        <w:rPr>
          <w:rFonts w:ascii="Georgia" w:cs="Georgia" w:eastAsia="Georgia" w:hAnsi="Georgia"/>
          <w:b/>
          <w:bCs/>
          <w:sz w:val="22"/>
          <w:szCs w:val="22"/>
        </w:rPr>
        <w:t xml:space="preserve">We The People — Platform Manifesto. </w:t>
      </w:r>
      <w:r>
        <w:rPr>
          <w:rFonts w:ascii="Georgia" w:cs="Georgia" w:eastAsia="Georgia" w:hAnsi="Georgia"/>
          <w:color w:val="1A1A1A"/>
          <w:sz w:val="22"/>
          <w:szCs w:val="22"/>
        </w:rPr>
        <w:t xml:space="preserve">The integrated vision document that introduces the three primary pillars and the architecture supporting them.</w:t>
      </w:r>
    </w:p>
    <w:p>
      <w:pPr>
        <w:spacing w:after="200" w:line="320"/>
        <w:jc w:val="both"/>
      </w:pPr>
      <w:r>
        <w:rPr>
          <w:rFonts w:ascii="Georgia" w:cs="Georgia" w:eastAsia="Georgia" w:hAnsi="Georgia"/>
          <w:b/>
          <w:bCs/>
          <w:sz w:val="22"/>
          <w:szCs w:val="22"/>
        </w:rPr>
        <w:t xml:space="preserve">Built For What’s Coming. </w:t>
      </w:r>
      <w:r>
        <w:rPr>
          <w:rFonts w:ascii="Georgia" w:cs="Georgia" w:eastAsia="Georgia" w:hAnsi="Georgia"/>
          <w:color w:val="1A1A1A"/>
          <w:sz w:val="22"/>
          <w:szCs w:val="22"/>
        </w:rPr>
        <w:t xml:space="preserve">The AI workforce transition framing of the platform, addressed to audiences whose primary concern is economic stability rather than fairness.</w:t>
      </w:r>
    </w:p>
    <w:p>
      <w:pPr>
        <w:spacing w:after="200" w:line="320"/>
        <w:jc w:val="both"/>
      </w:pPr>
      <w:r>
        <w:rPr>
          <w:rFonts w:ascii="Georgia" w:cs="Georgia" w:eastAsia="Georgia" w:hAnsi="Georgia"/>
          <w:b/>
          <w:bCs/>
          <w:sz w:val="22"/>
          <w:szCs w:val="22"/>
        </w:rPr>
        <w:t xml:space="preserve">The Founding Stake. </w:t>
      </w:r>
      <w:r>
        <w:rPr>
          <w:rFonts w:ascii="Georgia" w:cs="Georgia" w:eastAsia="Georgia" w:hAnsi="Georgia"/>
          <w:color w:val="1A1A1A"/>
          <w:sz w:val="22"/>
          <w:szCs w:val="22"/>
        </w:rPr>
        <w:t xml:space="preserve">The launch ceremony document, articulating the universal $2 contribution as constitutive participation.</w:t>
      </w:r>
    </w:p>
    <w:p>
      <w:pPr>
        <w:spacing w:after="200" w:line="320"/>
        <w:jc w:val="both"/>
      </w:pPr>
      <w:r>
        <w:rPr>
          <w:rFonts w:ascii="Georgia" w:cs="Georgia" w:eastAsia="Georgia" w:hAnsi="Georgia"/>
          <w:b/>
          <w:bCs/>
          <w:sz w:val="22"/>
          <w:szCs w:val="22"/>
        </w:rPr>
        <w:t xml:space="preserve">Adjacent Pillars Under Development. </w:t>
      </w:r>
      <w:r>
        <w:rPr>
          <w:rFonts w:ascii="Georgia" w:cs="Georgia" w:eastAsia="Georgia" w:hAnsi="Georgia"/>
          <w:color w:val="1A1A1A"/>
          <w:sz w:val="22"/>
          <w:szCs w:val="22"/>
        </w:rPr>
        <w:t xml:space="preserve">The companion document positioning healthcare, childcare, and mental health access as developing pillars.</w:t>
      </w:r>
    </w:p>
    <w:p>
      <w:pPr>
        <w:spacing w:after="200" w:line="320"/>
        <w:jc w:val="both"/>
      </w:pPr>
      <w:r>
        <w:rPr>
          <w:rFonts w:ascii="Georgia" w:cs="Georgia" w:eastAsia="Georgia" w:hAnsi="Georgia"/>
          <w:b/>
          <w:bCs/>
          <w:sz w:val="22"/>
          <w:szCs w:val="22"/>
        </w:rPr>
        <w:t xml:space="preserve">Civic Infrastructure Pillar. </w:t>
      </w:r>
      <w:r>
        <w:rPr>
          <w:rFonts w:ascii="Georgia" w:cs="Georgia" w:eastAsia="Georgia" w:hAnsi="Georgia"/>
          <w:color w:val="1A1A1A"/>
          <w:sz w:val="22"/>
          <w:szCs w:val="22"/>
        </w:rPr>
        <w:t xml:space="preserve">The concept document for journalism, civic education, voter access, and public meeting transparency.</w:t>
      </w:r>
    </w:p>
    <w:p>
      <w:pPr>
        <w:spacing w:after="200" w:line="320"/>
        <w:jc w:val="both"/>
      </w:pPr>
      <w:r>
        <w:rPr>
          <w:rFonts w:ascii="Georgia" w:cs="Georgia" w:eastAsia="Georgia" w:hAnsi="Georgia"/>
          <w:b/>
          <w:bCs/>
          <w:sz w:val="22"/>
          <w:szCs w:val="22"/>
        </w:rPr>
        <w:t xml:space="preserve">Future Capacity Fund. </w:t>
      </w:r>
      <w:r>
        <w:rPr>
          <w:rFonts w:ascii="Georgia" w:cs="Georgia" w:eastAsia="Georgia" w:hAnsi="Georgia"/>
          <w:color w:val="1A1A1A"/>
          <w:sz w:val="22"/>
          <w:szCs w:val="22"/>
        </w:rPr>
        <w:t xml:space="preserve">The concept document presenting two architectural paths for preserving capacity for unforeseen future problems.</w:t>
      </w:r>
    </w:p>
    <w:p>
      <w:pPr>
        <w:spacing w:after="200" w:line="320"/>
        <w:jc w:val="both"/>
      </w:pPr>
      <w:r>
        <w:rPr>
          <w:rFonts w:ascii="Georgia" w:cs="Georgia" w:eastAsia="Georgia" w:hAnsi="Georgia"/>
          <w:b/>
          <w:bCs/>
          <w:sz w:val="22"/>
          <w:szCs w:val="22"/>
        </w:rPr>
        <w:t xml:space="preserve">We The People — Platform Overview Slideshow. </w:t>
      </w:r>
      <w:r>
        <w:rPr>
          <w:rFonts w:ascii="Georgia" w:cs="Georgia" w:eastAsia="Georgia" w:hAnsi="Georgia"/>
          <w:color w:val="1A1A1A"/>
          <w:sz w:val="22"/>
          <w:szCs w:val="22"/>
        </w:rPr>
        <w:t xml:space="preserve">The 15-slide visual presentation suitable for high-level outreach.</w:t>
      </w:r>
    </w:p>
    <w:p>
      <w:pPr>
        <w:spacing w:after="200" w:line="320"/>
        <w:jc w:val="both"/>
      </w:pPr>
      <w:r>
        <w:rPr>
          <w:rFonts w:ascii="Georgia" w:cs="Georgia" w:eastAsia="Georgia" w:hAnsi="Georgia"/>
          <w:b/>
          <w:bCs/>
          <w:sz w:val="22"/>
          <w:szCs w:val="22"/>
        </w:rPr>
        <w:t xml:space="preserve">Constituent Letter. </w:t>
      </w:r>
      <w:r>
        <w:rPr>
          <w:rFonts w:ascii="Georgia" w:cs="Georgia" w:eastAsia="Georgia" w:hAnsi="Georgia"/>
          <w:color w:val="1A1A1A"/>
          <w:sz w:val="22"/>
          <w:szCs w:val="22"/>
        </w:rPr>
        <w:t xml:space="preserve">The one-page letter for delivering the platform to elected officials.</w:t>
      </w:r>
    </w:p>
    <w:p>
      <w:pPr>
        <w:pStyle w:val="Heading3"/>
        <w:spacing w:after="120" w:before="240"/>
      </w:pPr>
      <w:r>
        <w:rPr>
          <w:rFonts w:ascii="Arial" w:cs="Arial" w:eastAsia="Arial" w:hAnsi="Arial"/>
          <w:b/>
          <w:bCs/>
          <w:color w:val="C00000"/>
          <w:sz w:val="22"/>
          <w:szCs w:val="22"/>
        </w:rPr>
        <w:t xml:space="preserve">Technical White Papers</w:t>
      </w:r>
    </w:p>
    <w:p>
      <w:pPr>
        <w:spacing w:after="200" w:line="320"/>
        <w:jc w:val="both"/>
      </w:pPr>
      <w:r>
        <w:rPr>
          <w:rFonts w:ascii="Georgia" w:cs="Georgia" w:eastAsia="Georgia" w:hAnsi="Georgia"/>
          <w:b/>
          <w:bCs/>
          <w:sz w:val="22"/>
          <w:szCs w:val="22"/>
        </w:rPr>
        <w:t xml:space="preserve">Community Contribution Plan. </w:t>
      </w:r>
      <w:r>
        <w:rPr>
          <w:rFonts w:ascii="Georgia" w:cs="Georgia" w:eastAsia="Georgia" w:hAnsi="Georgia"/>
          <w:color w:val="1A1A1A"/>
          <w:sz w:val="22"/>
          <w:szCs w:val="22"/>
        </w:rPr>
        <w:t xml:space="preserve">The full technical analysis of the retirement reform proposal.</w:t>
      </w:r>
    </w:p>
    <w:p>
      <w:pPr>
        <w:spacing w:after="200" w:line="320"/>
        <w:jc w:val="both"/>
      </w:pPr>
      <w:r>
        <w:rPr>
          <w:rFonts w:ascii="Georgia" w:cs="Georgia" w:eastAsia="Georgia" w:hAnsi="Georgia"/>
          <w:b/>
          <w:bCs/>
          <w:sz w:val="22"/>
          <w:szCs w:val="22"/>
        </w:rPr>
        <w:t xml:space="preserve">Wage Floor Concept Analysis v0.2. </w:t>
      </w:r>
      <w:r>
        <w:rPr>
          <w:rFonts w:ascii="Georgia" w:cs="Georgia" w:eastAsia="Georgia" w:hAnsi="Georgia"/>
          <w:color w:val="1A1A1A"/>
          <w:sz w:val="22"/>
          <w:szCs w:val="22"/>
        </w:rPr>
        <w:t xml:space="preserve">The companion concept document for the wage floor pillar.</w:t>
      </w:r>
    </w:p>
    <w:p>
      <w:pPr>
        <w:pStyle w:val="Heading3"/>
        <w:spacing w:after="120" w:before="240"/>
      </w:pPr>
      <w:r>
        <w:rPr>
          <w:rFonts w:ascii="Arial" w:cs="Arial" w:eastAsia="Arial" w:hAnsi="Arial"/>
          <w:b/>
          <w:bCs/>
          <w:color w:val="C00000"/>
          <w:sz w:val="22"/>
          <w:szCs w:val="22"/>
        </w:rPr>
        <w:t xml:space="preserve">Mathematical Models</w:t>
      </w:r>
    </w:p>
    <w:p>
      <w:pPr>
        <w:spacing w:after="200" w:line="320"/>
        <w:jc w:val="both"/>
      </w:pPr>
      <w:r>
        <w:rPr>
          <w:rFonts w:ascii="Georgia" w:cs="Georgia" w:eastAsia="Georgia" w:hAnsi="Georgia"/>
          <w:b/>
          <w:bCs/>
          <w:sz w:val="22"/>
          <w:szCs w:val="22"/>
        </w:rPr>
        <w:t xml:space="preserve">SS Sunset Equilibrium Model. </w:t>
      </w:r>
      <w:r>
        <w:rPr>
          <w:rFonts w:ascii="Georgia" w:cs="Georgia" w:eastAsia="Georgia" w:hAnsi="Georgia"/>
          <w:color w:val="1A1A1A"/>
          <w:sz w:val="22"/>
          <w:szCs w:val="22"/>
        </w:rPr>
        <w:t xml:space="preserve">Analyzes the standalone phase-out of Social Security.</w:t>
      </w:r>
    </w:p>
    <w:p>
      <w:pPr>
        <w:spacing w:after="200" w:line="320"/>
        <w:jc w:val="both"/>
      </w:pPr>
      <w:r>
        <w:rPr>
          <w:rFonts w:ascii="Georgia" w:cs="Georgia" w:eastAsia="Georgia" w:hAnsi="Georgia"/>
          <w:b/>
          <w:bCs/>
          <w:sz w:val="22"/>
          <w:szCs w:val="22"/>
        </w:rPr>
        <w:t xml:space="preserve">Hybrid Retirement System Model. </w:t>
      </w:r>
      <w:r>
        <w:rPr>
          <w:rFonts w:ascii="Georgia" w:cs="Georgia" w:eastAsia="Georgia" w:hAnsi="Georgia"/>
          <w:color w:val="1A1A1A"/>
          <w:sz w:val="22"/>
          <w:szCs w:val="22"/>
        </w:rPr>
        <w:t xml:space="preserve">Analyzes the new contribution system on its own merits.</w:t>
      </w:r>
    </w:p>
    <w:p>
      <w:pPr>
        <w:spacing w:after="200" w:line="320"/>
        <w:jc w:val="both"/>
      </w:pPr>
      <w:r>
        <w:rPr>
          <w:rFonts w:ascii="Georgia" w:cs="Georgia" w:eastAsia="Georgia" w:hAnsi="Georgia"/>
          <w:b/>
          <w:bCs/>
          <w:sz w:val="22"/>
          <w:szCs w:val="22"/>
        </w:rPr>
        <w:t xml:space="preserve">Combined Reform Model. </w:t>
      </w:r>
      <w:r>
        <w:rPr>
          <w:rFonts w:ascii="Georgia" w:cs="Georgia" w:eastAsia="Georgia" w:hAnsi="Georgia"/>
          <w:color w:val="1A1A1A"/>
          <w:sz w:val="22"/>
          <w:szCs w:val="22"/>
        </w:rPr>
        <w:t xml:space="preserve">Integrates the sunset and hybrid systems. [RESTATED v3.8.359: this read 'demonstrating the 99.9% reduction in transition borrowing', a finding the model no longer supports. The workbook now models the decided repayment rule, the band phase-out and absorption, and gives about $85 trillion of wind-down borrowing against a fund of about $137 trillion.]</w:t>
      </w:r>
    </w:p>
    <w:p>
      <w:pPr>
        <w:spacing w:after="200" w:line="320"/>
        <w:jc w:val="both"/>
      </w:pPr>
      <w:r>
        <w:rPr>
          <w:rFonts w:ascii="Georgia" w:cs="Georgia" w:eastAsia="Georgia" w:hAnsi="Georgia"/>
          <w:b/>
          <w:bCs/>
          <w:sz w:val="22"/>
          <w:szCs w:val="22"/>
        </w:rPr>
        <w:t xml:space="preserve">Wage Floor Empirical Analysis. </w:t>
      </w:r>
      <w:r>
        <w:rPr>
          <w:rFonts w:ascii="Georgia" w:cs="Georgia" w:eastAsia="Georgia" w:hAnsi="Georgia"/>
          <w:color w:val="1A1A1A"/>
          <w:sz w:val="22"/>
          <w:szCs w:val="22"/>
        </w:rPr>
        <w:t xml:space="preserve">Covers 81 broad occupations and approximately 82 million workers using BLS data.</w:t>
      </w:r>
    </w:p>
    <w:p>
      <w:pPr>
        <w:spacing w:after="200" w:line="320"/>
        <w:jc w:val="both"/>
      </w:pPr>
      <w:r>
        <w:rPr>
          <w:rFonts w:ascii="Georgia" w:cs="Georgia" w:eastAsia="Georgia" w:hAnsi="Georgia"/>
          <w:b/>
          <w:bCs/>
          <w:sz w:val="22"/>
          <w:szCs w:val="22"/>
        </w:rPr>
        <w:t xml:space="preserve">Education Fund + Cost-Based Pricing Model. </w:t>
      </w:r>
      <w:r>
        <w:rPr>
          <w:rFonts w:ascii="Georgia" w:cs="Georgia" w:eastAsia="Georgia" w:hAnsi="Georgia"/>
          <w:color w:val="1A1A1A"/>
          <w:sz w:val="22"/>
          <w:szCs w:val="22"/>
        </w:rPr>
        <w:t xml:space="preserve">Models the Sovereign Education Fund integrated with retirement disbursements, plus the cost-based pricing framework with field-of-study granularity.</w:t>
      </w:r>
    </w:p>
    <w:p>
      <w:pPr>
        <w:spacing w:after="200" w:line="320"/>
        <w:jc w:val="both"/>
      </w:pPr>
      <w:r>
        <w:rPr>
          <w:rFonts w:ascii="Georgia" w:cs="Georgia" w:eastAsia="Georgia" w:hAnsi="Georgia"/>
          <w:b/>
          <w:bCs/>
          <w:sz w:val="22"/>
          <w:szCs w:val="22"/>
        </w:rPr>
        <w:t xml:space="preserve">Universal Healthcare Model. </w:t>
      </w:r>
      <w:r>
        <w:rPr>
          <w:rFonts w:ascii="Georgia" w:cs="Georgia" w:eastAsia="Georgia" w:hAnsi="Georgia"/>
          <w:color w:val="1A1A1A"/>
          <w:sz w:val="22"/>
          <w:szCs w:val="22"/>
        </w:rPr>
        <w:t xml:space="preserve">Analyzes multi-payer healthcare reform on the German/Japanese model.</w:t>
      </w:r>
    </w:p>
    <w:p>
      <w:pPr>
        <w:spacing w:after="200" w:line="320"/>
        <w:jc w:val="both"/>
      </w:pPr>
      <w:r>
        <w:rPr>
          <w:rFonts w:ascii="Georgia" w:cs="Georgia" w:eastAsia="Georgia" w:hAnsi="Georgia"/>
          <w:b/>
          <w:bCs/>
          <w:sz w:val="22"/>
          <w:szCs w:val="22"/>
        </w:rPr>
        <w:t xml:space="preserve">Universal Childcare Model. </w:t>
      </w:r>
      <w:r>
        <w:rPr>
          <w:rFonts w:ascii="Georgia" w:cs="Georgia" w:eastAsia="Georgia" w:hAnsi="Georgia"/>
          <w:color w:val="1A1A1A"/>
          <w:sz w:val="22"/>
          <w:szCs w:val="22"/>
        </w:rPr>
        <w:t xml:space="preserve">Analyzes Quebec-style universal childcare with U.S. workforce considerations.</w:t>
      </w:r>
    </w:p>
    <w:p>
      <w:pPr>
        <w:spacing w:after="200" w:line="320"/>
        <w:jc w:val="both"/>
      </w:pPr>
      <w:r>
        <w:rPr>
          <w:rFonts w:ascii="Georgia" w:cs="Georgia" w:eastAsia="Georgia" w:hAnsi="Georgia"/>
          <w:b/>
          <w:bCs/>
          <w:sz w:val="22"/>
          <w:szCs w:val="22"/>
        </w:rPr>
        <w:t xml:space="preserve">Universal Mental Health Model. </w:t>
      </w:r>
      <w:r>
        <w:rPr>
          <w:rFonts w:ascii="Georgia" w:cs="Georgia" w:eastAsia="Georgia" w:hAnsi="Georgia"/>
          <w:color w:val="1A1A1A"/>
          <w:sz w:val="22"/>
          <w:szCs w:val="22"/>
        </w:rPr>
        <w:t xml:space="preserve">Analyzes universal voluntary access with workforce capacity considerations.</w:t>
      </w:r>
    </w:p>
    <w:p>
      <w:pPr>
        <w:spacing w:after="200" w:line="320"/>
        <w:jc w:val="both"/>
      </w:pPr>
      <w:r>
        <w:rPr>
          <w:rFonts w:ascii="Georgia" w:cs="Georgia" w:eastAsia="Georgia" w:hAnsi="Georgia"/>
          <w:b/>
          <w:bCs/>
          <w:sz w:val="22"/>
          <w:szCs w:val="22"/>
        </w:rPr>
        <w:t xml:space="preserve">Proof-of-Concept Fund Model. </w:t>
      </w:r>
      <w:r>
        <w:rPr>
          <w:rFonts w:ascii="Georgia" w:cs="Georgia" w:eastAsia="Georgia" w:hAnsi="Georgia"/>
          <w:color w:val="1A1A1A"/>
          <w:sz w:val="22"/>
          <w:szCs w:val="22"/>
        </w:rPr>
        <w:t xml:space="preserve">Models the demonstration fund that operates the platform’s principles in real time.</w:t>
      </w:r>
    </w:p>
    <w:p>
      <w:pPr>
        <w:pStyle w:val="Heading3"/>
        <w:spacing w:after="120" w:before="240"/>
      </w:pPr>
      <w:r>
        <w:rPr>
          <w:rFonts w:ascii="Arial" w:cs="Arial" w:eastAsia="Arial" w:hAnsi="Arial"/>
          <w:b/>
          <w:bCs/>
          <w:color w:val="C00000"/>
          <w:sz w:val="22"/>
          <w:szCs w:val="22"/>
        </w:rPr>
        <w:t xml:space="preserve">This Document</w:t>
      </w:r>
    </w:p>
    <w:p>
      <w:pPr>
        <w:spacing w:after="200" w:line="320"/>
        <w:jc w:val="both"/>
      </w:pPr>
      <w:r>
        <w:rPr>
          <w:rFonts w:ascii="Georgia" w:cs="Georgia" w:eastAsia="Georgia" w:hAnsi="Georgia"/>
          <w:b/>
          <w:bCs/>
          <w:sz w:val="22"/>
          <w:szCs w:val="22"/>
        </w:rPr>
        <w:t xml:space="preserve">How This Was Built. </w:t>
      </w:r>
      <w:r>
        <w:rPr>
          <w:rFonts w:ascii="Georgia" w:cs="Georgia" w:eastAsia="Georgia" w:hAnsi="Georgia"/>
          <w:color w:val="1A1A1A"/>
          <w:sz w:val="22"/>
          <w:szCs w:val="22"/>
        </w:rPr>
        <w:t xml:space="preserve">The provenance document you are currently reading.</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Eighteen documents. Eleven mathematical models. One slideshow. One provenance document. The work itself stands on its own merits. This document explains how it came to be.</w:t>
            </w:r>
          </w:p>
        </w:tc>
      </w:tr>
    </w:tbl>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platform is offered to anyone willing to engage with it seriously — to consider the architecture, evaluate the analytical work, refine the proposals, build coalitions around the values, and ultimately to convert ideas into institutions. This document tells the story of how the platform got to its current state. The story of where it goes from here has not yet been written.</w:t>
      </w:r>
    </w:p>
    <w:p>
      <w:pPr>
        <w:spacing w:after="200" w:line="320"/>
        <w:jc w:val="both"/>
      </w:pPr>
      <w:r>
        <w:rPr>
          <w:rFonts w:ascii="Georgia" w:cs="Georgia" w:eastAsia="Georgia" w:hAnsi="Georgia"/>
          <w:color w:val="1A1A1A"/>
          <w:sz w:val="22"/>
          <w:szCs w:val="22"/>
        </w:rPr>
        <w:t xml:space="preserve">The author hopes that the disclosure here strengthens rather than diminishes the work’s standing. Honest acknowledgment of how something was made should not undermine confidence in what was made. If anything, it should strengthen confidence — because the alternative is concealment, which always raises more questions than transparency does.</w:t>
      </w:r>
    </w:p>
    <w:p>
      <w:pPr>
        <w:spacing w:after="200" w:line="320"/>
        <w:jc w:val="both"/>
      </w:pPr>
      <w:r>
        <w:rPr>
          <w:rFonts w:ascii="Georgia" w:cs="Georgia" w:eastAsia="Georgia" w:hAnsi="Georgia"/>
          <w:color w:val="1A1A1A"/>
          <w:sz w:val="22"/>
          <w:szCs w:val="22"/>
        </w:rPr>
        <w:t xml:space="preserve">The platform belongs to no one in particular. The author signed his name to the documents because the architectural vision and the values commitments are his, but the platform’s success or failure will depend on whether its ideas survive the engagement of many other citizens, professionals, and elected officials over the years required for institutional change. The author offers the work and steps back. Whatever happens to it from here happens because of the people who choose to engage with it.</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ideas are now in the world. What happens to them is up to the world.”</w:t>
            </w:r>
          </w:p>
        </w:tc>
      </w:tr>
    </w:tbl>
    <w:p>
      <w:pPr>
        <w:spacing w:after="400"/>
      </w:pPr>
      <w:r>
        <w:t xml:space="preserve"/>
      </w:r>
    </w:p>
    <w:p>
      <w:pPr>
        <w:spacing w:after="200" w:line="320"/>
        <w:jc w:val="both"/>
      </w:pPr>
      <w:r>
        <w:rPr>
          <w:rFonts w:ascii="Georgia" w:cs="Georgia" w:eastAsia="Georgia" w:hAnsi="Georgia"/>
          <w:color w:val="1A1A1A"/>
          <w:sz w:val="22"/>
          <w:szCs w:val="22"/>
        </w:rPr>
        <w:t xml:space="preserve">Comments, critiques, refinements, and engagement are welcomed from any source. The author will respond to substantive engagement and revise the platform as warranted by the conversations it produces.</w:t>
      </w:r>
    </w:p>
    <w:p>
      <w:pPr>
        <w:spacing w:after="8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Provenance · v1.1</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How This Was Built — Provenance Document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This Was Built — Provenance Document</dc:title>
  <dc:creator>Jason</dc:creator>
  <cp:lastModifiedBy>Un-named</cp:lastModifiedBy>
  <cp:revision>1</cp:revision>
  <dcterms:created xsi:type="dcterms:W3CDTF">2026-05-03T20:08:22.368Z</dcterms:created>
  <dcterms:modified xsi:type="dcterms:W3CDTF">2026-05-03T20:08:22.368Z</dcterms:modified>
</cp:coreProperties>
</file>

<file path=docProps/custom.xml><?xml version="1.0" encoding="utf-8"?>
<Properties xmlns="http://schemas.openxmlformats.org/officeDocument/2006/custom-properties" xmlns:vt="http://schemas.openxmlformats.org/officeDocument/2006/docPropsVTypes"/>
</file>